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425159" w:rsidRDefault="00425159" w:rsidP="00425159">
      <w:pPr>
        <w:spacing w:after="0"/>
        <w:ind w:left="1988" w:hanging="1988"/>
        <w:jc w:val="both"/>
        <w:rPr>
          <w:rFonts w:ascii="Arial" w:hAnsi="Arial" w:cs="Arial"/>
          <w:b/>
          <w:sz w:val="24"/>
          <w:lang w:val="en-US"/>
        </w:rPr>
      </w:pPr>
      <w:r w:rsidRPr="00425159">
        <w:rPr>
          <w:rFonts w:ascii="Arial" w:hAnsi="Arial" w:cs="Arial"/>
          <w:b/>
          <w:sz w:val="24"/>
          <w:lang w:val="en-US"/>
        </w:rPr>
        <w:t xml:space="preserve">3GPP TSG RAN </w:t>
      </w:r>
      <w:r w:rsidR="00E078E5">
        <w:rPr>
          <w:rFonts w:ascii="Arial" w:hAnsi="Arial" w:cs="Arial"/>
          <w:b/>
          <w:sz w:val="24"/>
          <w:lang w:val="en-US"/>
        </w:rPr>
        <w:t>WG1 Meeting</w:t>
      </w:r>
      <w:r w:rsidR="003204D4">
        <w:rPr>
          <w:rFonts w:ascii="Arial" w:hAnsi="Arial" w:cs="Arial"/>
          <w:b/>
          <w:sz w:val="24"/>
          <w:lang w:val="en-US"/>
        </w:rPr>
        <w:t xml:space="preserve"> </w:t>
      </w:r>
      <w:sdt>
        <w:sdtPr>
          <w:rPr>
            <w:rFonts w:ascii="Arial" w:hAnsi="Arial" w:cs="Arial"/>
            <w:b/>
            <w:sz w:val="24"/>
            <w:lang w:val="en-US"/>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C41C28">
            <w:rPr>
              <w:rFonts w:ascii="Arial" w:hAnsi="Arial" w:cs="Arial"/>
              <w:b/>
              <w:sz w:val="24"/>
              <w:lang w:val="en-US"/>
            </w:rPr>
            <w:t>NR Ad-hoc</w:t>
          </w:r>
        </w:sdtContent>
      </w:sdt>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sdt>
        <w:sdtPr>
          <w:rPr>
            <w:rFonts w:ascii="Arial" w:hAnsi="Arial" w:cs="Arial"/>
            <w:b/>
            <w:sz w:val="24"/>
            <w:lang w:val="en-US"/>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C41C28">
            <w:rPr>
              <w:rFonts w:ascii="Arial" w:hAnsi="Arial" w:cs="Arial"/>
              <w:b/>
              <w:sz w:val="24"/>
              <w:lang w:val="en-US"/>
            </w:rPr>
            <w:t>R1-1700333</w:t>
          </w:r>
        </w:sdtContent>
      </w:sdt>
    </w:p>
    <w:sdt>
      <w:sdtPr>
        <w:rPr>
          <w:rFonts w:ascii="Arial" w:hAnsi="Arial" w:cs="Arial"/>
          <w:b/>
          <w:sz w:val="24"/>
          <w:lang w:val="en-US"/>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425159" w:rsidRDefault="004D3AA2" w:rsidP="00425159">
          <w:pPr>
            <w:spacing w:after="0"/>
            <w:ind w:left="1988" w:hanging="1988"/>
            <w:jc w:val="both"/>
            <w:rPr>
              <w:rFonts w:ascii="Arial" w:hAnsi="Arial" w:cs="Arial"/>
              <w:b/>
              <w:sz w:val="24"/>
              <w:lang w:val="en-US"/>
            </w:rPr>
          </w:pPr>
          <w:r>
            <w:rPr>
              <w:rFonts w:ascii="Arial" w:hAnsi="Arial" w:cs="Arial"/>
              <w:b/>
              <w:sz w:val="24"/>
              <w:lang w:val="en-US"/>
            </w:rPr>
            <w:t>Spokane, WA, U.S.A., Jan. 16-20, 2017</w:t>
          </w:r>
        </w:p>
      </w:sdtContent>
    </w:sdt>
    <w:p w:rsidR="00425159" w:rsidRPr="00425159" w:rsidRDefault="00425159" w:rsidP="00425159">
      <w:pPr>
        <w:spacing w:after="0"/>
        <w:ind w:left="1988" w:hanging="1988"/>
        <w:jc w:val="both"/>
        <w:rPr>
          <w:rFonts w:ascii="Arial" w:hAnsi="Arial" w:cs="Arial"/>
          <w:b/>
          <w:sz w:val="24"/>
          <w:lang w:val="en-US"/>
        </w:rPr>
      </w:pPr>
      <w:r w:rsidRPr="00425159">
        <w:rPr>
          <w:rFonts w:ascii="Arial" w:hAnsi="Arial" w:cs="Arial"/>
          <w:b/>
          <w:sz w:val="24"/>
          <w:lang w:val="en-US"/>
        </w:rPr>
        <w:t xml:space="preserve">Source: </w:t>
      </w:r>
      <w:r w:rsidRPr="00425159">
        <w:rPr>
          <w:rFonts w:ascii="Arial" w:hAnsi="Arial" w:cs="Arial"/>
          <w:b/>
          <w:sz w:val="24"/>
          <w:lang w:val="en-US"/>
        </w:rPr>
        <w:tab/>
        <w:t xml:space="preserve">Intel Corporation </w:t>
      </w:r>
    </w:p>
    <w:p w:rsidR="00425159" w:rsidRPr="00425159" w:rsidRDefault="00425159" w:rsidP="00425159">
      <w:pPr>
        <w:spacing w:after="0"/>
        <w:ind w:left="1988" w:hanging="1988"/>
        <w:jc w:val="both"/>
        <w:rPr>
          <w:rFonts w:ascii="Arial" w:hAnsi="Arial" w:cs="Arial"/>
          <w:b/>
          <w:sz w:val="24"/>
          <w:lang w:val="en-US"/>
        </w:rPr>
      </w:pPr>
      <w:r w:rsidRPr="00425159">
        <w:rPr>
          <w:rFonts w:ascii="Arial" w:hAnsi="Arial" w:cs="Arial"/>
          <w:b/>
          <w:sz w:val="24"/>
          <w:lang w:val="en-US"/>
        </w:rPr>
        <w:t>Title:</w:t>
      </w:r>
      <w:r w:rsidRPr="00425159">
        <w:rPr>
          <w:rFonts w:ascii="Arial" w:hAnsi="Arial" w:cs="Arial"/>
          <w:b/>
          <w:sz w:val="24"/>
          <w:lang w:val="en-US"/>
        </w:rPr>
        <w:tab/>
      </w:r>
      <w:sdt>
        <w:sdtPr>
          <w:rPr>
            <w:rFonts w:ascii="Arial" w:hAnsi="Arial" w:cs="Arial"/>
            <w:b/>
            <w:sz w:val="24"/>
            <w:lang w:val="en-US"/>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C41C28">
            <w:rPr>
              <w:rFonts w:ascii="Arial" w:hAnsi="Arial" w:cs="Arial"/>
              <w:b/>
              <w:sz w:val="24"/>
              <w:lang w:val="en-US"/>
            </w:rPr>
            <w:t>Considerations for Random Access Procedure</w:t>
          </w:r>
        </w:sdtContent>
      </w:sdt>
    </w:p>
    <w:p w:rsidR="00425159" w:rsidRPr="00425159" w:rsidRDefault="00425159" w:rsidP="00425159">
      <w:pPr>
        <w:spacing w:after="0"/>
        <w:ind w:left="1988" w:hanging="1988"/>
        <w:jc w:val="both"/>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sdt>
        <w:sdtPr>
          <w:rPr>
            <w:rFonts w:ascii="Arial" w:hAnsi="Arial" w:cs="Arial"/>
            <w:b/>
            <w:sz w:val="24"/>
            <w:lang w:val="en-US"/>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C41C28">
            <w:rPr>
              <w:rFonts w:ascii="Arial" w:hAnsi="Arial" w:cs="Arial"/>
              <w:b/>
              <w:sz w:val="24"/>
              <w:lang w:val="en-US"/>
            </w:rPr>
            <w:t>5.1.1.4.2</w:t>
          </w:r>
        </w:sdtContent>
      </w:sdt>
    </w:p>
    <w:p w:rsidR="0068226B" w:rsidRPr="00C13F33" w:rsidRDefault="00425159" w:rsidP="00425159">
      <w:pPr>
        <w:spacing w:after="0"/>
        <w:ind w:left="1988" w:hanging="1988"/>
        <w:jc w:val="both"/>
        <w:rPr>
          <w:rFonts w:ascii="Arial" w:hAnsi="Arial" w:cs="Arial"/>
          <w:sz w:val="24"/>
          <w:lang w:val="en-US"/>
        </w:rPr>
      </w:pPr>
      <w:r w:rsidRPr="00425159">
        <w:rPr>
          <w:rFonts w:ascii="Arial" w:hAnsi="Arial" w:cs="Arial"/>
          <w:b/>
          <w:sz w:val="24"/>
          <w:lang w:val="en-US"/>
        </w:rPr>
        <w:t>Document for:</w:t>
      </w:r>
      <w:r w:rsidRPr="00425159">
        <w:rPr>
          <w:rFonts w:ascii="Arial" w:hAnsi="Arial" w:cs="Arial"/>
          <w:b/>
          <w:sz w:val="24"/>
          <w:lang w:val="en-US"/>
        </w:rPr>
        <w:tab/>
      </w:r>
      <w:sdt>
        <w:sdtPr>
          <w:rPr>
            <w:rFonts w:ascii="Arial" w:hAnsi="Arial" w:cs="Arial"/>
            <w:b/>
            <w:sz w:val="24"/>
            <w:lang w:val="en-US"/>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lang w:val="en-US"/>
            </w:rPr>
            <w:t>Discussion and Decision</w:t>
          </w:r>
        </w:sdtContent>
      </w:sdt>
    </w:p>
    <w:p w:rsidR="00EA6506" w:rsidRPr="009A37AC" w:rsidRDefault="00EA6506" w:rsidP="00EA6506">
      <w:pPr>
        <w:spacing w:after="0"/>
        <w:ind w:left="2388" w:hangingChars="995" w:hanging="2388"/>
        <w:jc w:val="both"/>
        <w:rPr>
          <w:sz w:val="24"/>
          <w:lang w:val="en-US"/>
        </w:rPr>
      </w:pPr>
    </w:p>
    <w:p w:rsidR="00753639" w:rsidRDefault="00753639" w:rsidP="00753639">
      <w:pPr>
        <w:pStyle w:val="Heading1"/>
        <w:numPr>
          <w:ilvl w:val="0"/>
          <w:numId w:val="15"/>
        </w:numPr>
        <w:spacing w:before="120" w:after="60"/>
        <w:jc w:val="both"/>
        <w:rPr>
          <w:rFonts w:cs="Arial"/>
          <w:lang w:val="en-US"/>
        </w:rPr>
      </w:pPr>
      <w:r>
        <w:rPr>
          <w:rFonts w:cs="Arial"/>
          <w:lang w:val="en-US"/>
        </w:rPr>
        <w:t>Introduction</w:t>
      </w:r>
    </w:p>
    <w:p w:rsidR="00753639" w:rsidRDefault="00753639" w:rsidP="00753639">
      <w:pPr>
        <w:ind w:firstLine="284"/>
        <w:jc w:val="both"/>
        <w:rPr>
          <w:sz w:val="22"/>
          <w:szCs w:val="22"/>
          <w:lang w:eastAsia="zh-CN"/>
        </w:rPr>
      </w:pPr>
      <w:r w:rsidRPr="0020001D">
        <w:rPr>
          <w:sz w:val="22"/>
          <w:szCs w:val="22"/>
          <w:lang w:eastAsia="zh-CN"/>
        </w:rPr>
        <w:t>In the RAN</w:t>
      </w:r>
      <w:r>
        <w:rPr>
          <w:sz w:val="22"/>
          <w:szCs w:val="22"/>
          <w:lang w:eastAsia="zh-CN"/>
        </w:rPr>
        <w:t xml:space="preserve"> 1 #86b</w:t>
      </w:r>
      <w:r w:rsidRPr="0020001D">
        <w:rPr>
          <w:sz w:val="22"/>
          <w:szCs w:val="22"/>
          <w:lang w:eastAsia="zh-CN"/>
        </w:rPr>
        <w:t xml:space="preserve"> meeting</w:t>
      </w:r>
      <w:r>
        <w:rPr>
          <w:sz w:val="22"/>
          <w:szCs w:val="22"/>
          <w:lang w:eastAsia="zh-CN"/>
        </w:rPr>
        <w:t>, some agreements on RACH in multi-beam operation have been achieved as follows. [1][2]</w:t>
      </w:r>
    </w:p>
    <w:p w:rsidR="00753639" w:rsidRPr="00B44CCF" w:rsidRDefault="00753639" w:rsidP="00753639">
      <w:pPr>
        <w:numPr>
          <w:ilvl w:val="0"/>
          <w:numId w:val="18"/>
        </w:numPr>
        <w:overflowPunct/>
        <w:autoSpaceDE/>
        <w:autoSpaceDN/>
        <w:adjustRightInd/>
        <w:spacing w:after="0"/>
        <w:textAlignment w:val="auto"/>
        <w:rPr>
          <w:rFonts w:eastAsia="MS Mincho"/>
          <w:i/>
          <w:sz w:val="22"/>
          <w:szCs w:val="22"/>
          <w:lang w:val="en-US" w:eastAsia="ja-JP"/>
        </w:rPr>
      </w:pPr>
      <w:r w:rsidRPr="00B44CCF">
        <w:rPr>
          <w:rFonts w:eastAsia="MS Mincho" w:hint="eastAsia"/>
          <w:i/>
          <w:sz w:val="22"/>
          <w:szCs w:val="22"/>
          <w:lang w:val="en-US" w:eastAsia="ja-JP"/>
        </w:rPr>
        <w:t>W</w:t>
      </w:r>
      <w:r w:rsidRPr="00B44CCF">
        <w:rPr>
          <w:rFonts w:eastAsia="MS Mincho"/>
          <w:i/>
          <w:sz w:val="22"/>
          <w:szCs w:val="22"/>
          <w:lang w:val="en-US" w:eastAsia="ja-JP"/>
        </w:rPr>
        <w:t>hen Tx/Rx reciprocity is available at gNB</w:t>
      </w:r>
      <w:r w:rsidRPr="00B44CCF">
        <w:rPr>
          <w:rFonts w:eastAsia="MS Mincho" w:hint="eastAsia"/>
          <w:i/>
          <w:sz w:val="22"/>
          <w:szCs w:val="22"/>
          <w:lang w:val="en-US" w:eastAsia="ja-JP"/>
        </w:rPr>
        <w:t xml:space="preserve"> at least for multiple beams operation</w:t>
      </w:r>
      <w:r w:rsidRPr="00B44CCF">
        <w:rPr>
          <w:rFonts w:eastAsia="MS Mincho"/>
          <w:i/>
          <w:sz w:val="22"/>
          <w:szCs w:val="22"/>
          <w:lang w:val="en-US" w:eastAsia="ja-JP"/>
        </w:rPr>
        <w:t>, the following RACH procedure is considered for at least UE in idle mode</w:t>
      </w:r>
    </w:p>
    <w:p w:rsidR="00753639" w:rsidRPr="00B44CCF" w:rsidRDefault="00753639" w:rsidP="00753639">
      <w:pPr>
        <w:numPr>
          <w:ilvl w:val="1"/>
          <w:numId w:val="16"/>
        </w:numPr>
        <w:overflowPunct/>
        <w:autoSpaceDE/>
        <w:autoSpaceDN/>
        <w:adjustRightInd/>
        <w:spacing w:after="0"/>
        <w:textAlignment w:val="auto"/>
        <w:rPr>
          <w:rFonts w:eastAsia="MS Mincho"/>
          <w:i/>
          <w:sz w:val="22"/>
          <w:szCs w:val="22"/>
          <w:lang w:val="en-US" w:eastAsia="ja-JP"/>
        </w:rPr>
      </w:pPr>
      <w:r w:rsidRPr="00B44CCF">
        <w:rPr>
          <w:rFonts w:eastAsia="MS Mincho"/>
          <w:i/>
          <w:sz w:val="22"/>
          <w:szCs w:val="22"/>
          <w:lang w:val="en-US" w:eastAsia="ja-JP"/>
        </w:rPr>
        <w:t xml:space="preserve">Association between one or  multiple  occasions for DL broadcast channel/signal and  a subset of RACH </w:t>
      </w:r>
      <w:r w:rsidRPr="00B44CCF">
        <w:rPr>
          <w:rFonts w:eastAsia="MS Mincho" w:hint="eastAsia"/>
          <w:i/>
          <w:sz w:val="22"/>
          <w:szCs w:val="22"/>
          <w:lang w:val="en-US" w:eastAsia="ja-JP"/>
        </w:rPr>
        <w:t>resources</w:t>
      </w:r>
      <w:r w:rsidRPr="00B44CCF">
        <w:rPr>
          <w:rFonts w:eastAsia="MS Mincho"/>
          <w:i/>
          <w:sz w:val="22"/>
          <w:szCs w:val="22"/>
          <w:lang w:val="en-US" w:eastAsia="ja-JP"/>
        </w:rPr>
        <w:t xml:space="preserve"> is </w:t>
      </w:r>
      <w:r w:rsidRPr="00B44CCF">
        <w:rPr>
          <w:rFonts w:eastAsia="MS Mincho" w:hint="eastAsia"/>
          <w:i/>
          <w:sz w:val="22"/>
          <w:szCs w:val="22"/>
          <w:lang w:val="en-US" w:eastAsia="ja-JP"/>
        </w:rPr>
        <w:t>informed to UE</w:t>
      </w:r>
      <w:r w:rsidRPr="00B44CCF">
        <w:rPr>
          <w:rFonts w:eastAsia="MS Mincho"/>
          <w:i/>
          <w:sz w:val="22"/>
          <w:szCs w:val="22"/>
          <w:lang w:val="en-US" w:eastAsia="ja-JP"/>
        </w:rPr>
        <w:t xml:space="preserve"> by broadcast system information</w:t>
      </w:r>
      <w:r w:rsidRPr="00B44CCF">
        <w:rPr>
          <w:rFonts w:eastAsia="MS Mincho" w:hint="eastAsia"/>
          <w:i/>
          <w:sz w:val="22"/>
          <w:szCs w:val="22"/>
          <w:lang w:val="en-US" w:eastAsia="ja-JP"/>
        </w:rPr>
        <w:t xml:space="preserve"> or known to UE</w:t>
      </w:r>
    </w:p>
    <w:p w:rsidR="00753639" w:rsidRPr="00B44CCF" w:rsidRDefault="00753639" w:rsidP="00753639">
      <w:pPr>
        <w:numPr>
          <w:ilvl w:val="2"/>
          <w:numId w:val="16"/>
        </w:numPr>
        <w:overflowPunct/>
        <w:autoSpaceDE/>
        <w:autoSpaceDN/>
        <w:adjustRightInd/>
        <w:spacing w:after="0"/>
        <w:textAlignment w:val="auto"/>
        <w:rPr>
          <w:rFonts w:eastAsia="MS Mincho"/>
          <w:i/>
          <w:sz w:val="22"/>
          <w:szCs w:val="22"/>
          <w:lang w:val="en-US" w:eastAsia="ja-JP"/>
        </w:rPr>
      </w:pPr>
      <w:r w:rsidRPr="00B44CCF">
        <w:rPr>
          <w:rFonts w:eastAsia="MS Mincho" w:hint="eastAsia"/>
          <w:i/>
          <w:sz w:val="22"/>
          <w:szCs w:val="22"/>
          <w:lang w:val="en-US" w:eastAsia="ja-JP"/>
        </w:rPr>
        <w:t xml:space="preserve">FFS: </w:t>
      </w:r>
      <w:r w:rsidRPr="00B44CCF">
        <w:rPr>
          <w:rFonts w:eastAsia="MS Mincho"/>
          <w:i/>
          <w:sz w:val="22"/>
          <w:szCs w:val="22"/>
          <w:lang w:val="en-US" w:eastAsia="ja-JP"/>
        </w:rPr>
        <w:t>Signaling of  “non-association”</w:t>
      </w:r>
    </w:p>
    <w:p w:rsidR="00753639" w:rsidRPr="00B44CCF" w:rsidRDefault="00753639" w:rsidP="00753639">
      <w:pPr>
        <w:numPr>
          <w:ilvl w:val="2"/>
          <w:numId w:val="16"/>
        </w:numPr>
        <w:overflowPunct/>
        <w:autoSpaceDE/>
        <w:autoSpaceDN/>
        <w:adjustRightInd/>
        <w:spacing w:after="0"/>
        <w:textAlignment w:val="auto"/>
        <w:rPr>
          <w:rFonts w:eastAsia="MS Mincho"/>
          <w:i/>
          <w:sz w:val="22"/>
          <w:szCs w:val="22"/>
          <w:lang w:val="en-US" w:eastAsia="ja-JP"/>
        </w:rPr>
      </w:pPr>
      <w:r w:rsidRPr="00B44CCF">
        <w:rPr>
          <w:rFonts w:eastAsia="MS Mincho"/>
          <w:i/>
          <w:sz w:val="22"/>
          <w:szCs w:val="22"/>
          <w:lang w:val="en-US" w:eastAsia="ja-JP"/>
        </w:rPr>
        <w:t>Detailed design for RACH preamble should be further studied</w:t>
      </w:r>
    </w:p>
    <w:p w:rsidR="00753639" w:rsidRPr="00B44CCF" w:rsidRDefault="00753639" w:rsidP="00753639">
      <w:pPr>
        <w:numPr>
          <w:ilvl w:val="1"/>
          <w:numId w:val="16"/>
        </w:numPr>
        <w:overflowPunct/>
        <w:autoSpaceDE/>
        <w:autoSpaceDN/>
        <w:adjustRightInd/>
        <w:spacing w:after="0"/>
        <w:textAlignment w:val="auto"/>
        <w:rPr>
          <w:rFonts w:eastAsia="MS Mincho"/>
          <w:i/>
          <w:sz w:val="22"/>
          <w:szCs w:val="22"/>
          <w:lang w:val="en-US" w:eastAsia="ja-JP"/>
        </w:rPr>
      </w:pPr>
      <w:r w:rsidRPr="00B44CCF">
        <w:rPr>
          <w:rFonts w:eastAsia="MS Mincho" w:hint="eastAsia"/>
          <w:i/>
          <w:sz w:val="22"/>
          <w:szCs w:val="22"/>
          <w:lang w:val="en-US" w:eastAsia="ja-JP"/>
        </w:rPr>
        <w:t>B</w:t>
      </w:r>
      <w:r w:rsidRPr="00B44CCF">
        <w:rPr>
          <w:rFonts w:eastAsia="MS Mincho"/>
          <w:i/>
          <w:sz w:val="22"/>
          <w:szCs w:val="22"/>
          <w:lang w:val="en-US" w:eastAsia="ja-JP"/>
        </w:rPr>
        <w:t xml:space="preserve">ased on the DL measurement and the corresponding association, UE selects the subset of RACH </w:t>
      </w:r>
      <w:r w:rsidRPr="00B44CCF">
        <w:rPr>
          <w:rFonts w:eastAsia="MS Mincho" w:hint="eastAsia"/>
          <w:i/>
          <w:sz w:val="22"/>
          <w:szCs w:val="22"/>
          <w:lang w:val="en-US" w:eastAsia="ja-JP"/>
        </w:rPr>
        <w:t>resources</w:t>
      </w:r>
    </w:p>
    <w:p w:rsidR="00753639" w:rsidRPr="00B44CCF" w:rsidRDefault="00753639" w:rsidP="00753639">
      <w:pPr>
        <w:numPr>
          <w:ilvl w:val="2"/>
          <w:numId w:val="16"/>
        </w:numPr>
        <w:overflowPunct/>
        <w:autoSpaceDE/>
        <w:autoSpaceDN/>
        <w:adjustRightInd/>
        <w:spacing w:after="0"/>
        <w:textAlignment w:val="auto"/>
        <w:rPr>
          <w:rFonts w:eastAsia="MS Mincho"/>
          <w:i/>
          <w:sz w:val="22"/>
          <w:szCs w:val="22"/>
          <w:lang w:val="en-US" w:eastAsia="ja-JP"/>
        </w:rPr>
      </w:pPr>
      <w:r w:rsidRPr="00B44CCF">
        <w:rPr>
          <w:rFonts w:eastAsia="MS Mincho" w:hint="eastAsia"/>
          <w:i/>
          <w:sz w:val="22"/>
          <w:szCs w:val="22"/>
          <w:lang w:val="en-US" w:eastAsia="ja-JP"/>
        </w:rPr>
        <w:t>FFS: Tx beam selection for RACH preamble transmission</w:t>
      </w:r>
    </w:p>
    <w:p w:rsidR="00753639" w:rsidRPr="00B44CCF" w:rsidRDefault="00753639" w:rsidP="00753639">
      <w:pPr>
        <w:numPr>
          <w:ilvl w:val="1"/>
          <w:numId w:val="16"/>
        </w:numPr>
        <w:overflowPunct/>
        <w:autoSpaceDE/>
        <w:autoSpaceDN/>
        <w:adjustRightInd/>
        <w:spacing w:after="0"/>
        <w:textAlignment w:val="auto"/>
        <w:rPr>
          <w:rFonts w:eastAsia="MS Mincho"/>
          <w:i/>
          <w:sz w:val="22"/>
          <w:szCs w:val="22"/>
          <w:lang w:val="en-US" w:eastAsia="ja-JP"/>
        </w:rPr>
      </w:pPr>
      <w:r w:rsidRPr="00B44CCF">
        <w:rPr>
          <w:rFonts w:eastAsia="MS Mincho"/>
          <w:i/>
          <w:sz w:val="22"/>
          <w:szCs w:val="22"/>
          <w:lang w:val="en-US" w:eastAsia="ja-JP"/>
        </w:rPr>
        <w:t xml:space="preserve">At gNB, the DL Tx beam for the UE </w:t>
      </w:r>
      <w:r w:rsidRPr="00B44CCF">
        <w:rPr>
          <w:rFonts w:eastAsia="MS Mincho" w:hint="eastAsia"/>
          <w:i/>
          <w:sz w:val="22"/>
          <w:szCs w:val="22"/>
          <w:lang w:val="en-US" w:eastAsia="ja-JP"/>
        </w:rPr>
        <w:t>can be</w:t>
      </w:r>
      <w:r w:rsidRPr="00B44CCF">
        <w:rPr>
          <w:rFonts w:eastAsia="MS Mincho"/>
          <w:i/>
          <w:sz w:val="22"/>
          <w:szCs w:val="22"/>
          <w:lang w:val="en-US" w:eastAsia="ja-JP"/>
        </w:rPr>
        <w:t xml:space="preserve"> obtained based on the detected RACH preamble and would be also applied to Message 2</w:t>
      </w:r>
    </w:p>
    <w:p w:rsidR="00753639" w:rsidRPr="00B44CCF" w:rsidRDefault="00753639" w:rsidP="00753639">
      <w:pPr>
        <w:numPr>
          <w:ilvl w:val="2"/>
          <w:numId w:val="16"/>
        </w:numPr>
        <w:overflowPunct/>
        <w:autoSpaceDE/>
        <w:autoSpaceDN/>
        <w:adjustRightInd/>
        <w:spacing w:after="0"/>
        <w:textAlignment w:val="auto"/>
        <w:rPr>
          <w:rFonts w:eastAsia="MS Mincho"/>
          <w:i/>
          <w:sz w:val="22"/>
          <w:szCs w:val="22"/>
          <w:lang w:val="en-US" w:eastAsia="ja-JP"/>
        </w:rPr>
      </w:pPr>
      <w:r w:rsidRPr="00B44CCF">
        <w:rPr>
          <w:rFonts w:eastAsia="MS Mincho"/>
          <w:i/>
          <w:sz w:val="22"/>
          <w:szCs w:val="22"/>
          <w:lang w:val="en-US" w:eastAsia="ja-JP"/>
        </w:rPr>
        <w:t>UL grant in message 2 may indicate the transmission timing of message 3</w:t>
      </w:r>
    </w:p>
    <w:p w:rsidR="00753639" w:rsidRPr="00B44CCF" w:rsidRDefault="00753639" w:rsidP="00753639">
      <w:pPr>
        <w:numPr>
          <w:ilvl w:val="0"/>
          <w:numId w:val="18"/>
        </w:numPr>
        <w:overflowPunct/>
        <w:autoSpaceDE/>
        <w:autoSpaceDN/>
        <w:adjustRightInd/>
        <w:spacing w:after="0"/>
        <w:textAlignment w:val="auto"/>
        <w:rPr>
          <w:rFonts w:eastAsia="MS Mincho"/>
          <w:i/>
          <w:sz w:val="22"/>
          <w:szCs w:val="22"/>
          <w:lang w:val="en-US" w:eastAsia="ja-JP"/>
        </w:rPr>
      </w:pPr>
      <w:r w:rsidRPr="00B44CCF">
        <w:rPr>
          <w:rFonts w:eastAsia="MS Mincho"/>
          <w:i/>
          <w:sz w:val="22"/>
          <w:szCs w:val="22"/>
          <w:lang w:val="en-US" w:eastAsia="ja-JP"/>
        </w:rPr>
        <w:t>For the cases with and without Tx/Rx reciprocity, the common random access procedure should be strived</w:t>
      </w:r>
    </w:p>
    <w:p w:rsidR="00753639" w:rsidRPr="00B44CCF" w:rsidRDefault="00753639" w:rsidP="00753639">
      <w:pPr>
        <w:numPr>
          <w:ilvl w:val="0"/>
          <w:numId w:val="18"/>
        </w:numPr>
        <w:overflowPunct/>
        <w:autoSpaceDE/>
        <w:autoSpaceDN/>
        <w:adjustRightInd/>
        <w:spacing w:after="0"/>
        <w:textAlignment w:val="auto"/>
        <w:rPr>
          <w:rFonts w:eastAsia="MS Mincho"/>
          <w:i/>
          <w:sz w:val="22"/>
          <w:szCs w:val="22"/>
          <w:lang w:val="en-US" w:eastAsia="ja-JP"/>
        </w:rPr>
      </w:pPr>
      <w:r w:rsidRPr="00B44CCF">
        <w:rPr>
          <w:rFonts w:eastAsia="MS Mincho"/>
          <w:i/>
          <w:sz w:val="22"/>
          <w:szCs w:val="22"/>
          <w:lang w:val="en-US" w:eastAsia="ja-JP"/>
        </w:rPr>
        <w:t>When Tx/Rx reciprocity is not available, the the following could be further considered for at least UE in idle mode</w:t>
      </w:r>
    </w:p>
    <w:p w:rsidR="00753639" w:rsidRPr="00B44CCF" w:rsidRDefault="00753639" w:rsidP="00753639">
      <w:pPr>
        <w:numPr>
          <w:ilvl w:val="1"/>
          <w:numId w:val="17"/>
        </w:numPr>
        <w:overflowPunct/>
        <w:autoSpaceDE/>
        <w:autoSpaceDN/>
        <w:adjustRightInd/>
        <w:spacing w:after="0"/>
        <w:textAlignment w:val="auto"/>
        <w:rPr>
          <w:rFonts w:eastAsia="MS Mincho"/>
          <w:i/>
          <w:sz w:val="22"/>
          <w:szCs w:val="22"/>
          <w:lang w:val="en-US" w:eastAsia="ja-JP"/>
        </w:rPr>
      </w:pPr>
      <w:r w:rsidRPr="00B44CCF">
        <w:rPr>
          <w:rFonts w:eastAsia="MS Mincho"/>
          <w:i/>
          <w:sz w:val="22"/>
          <w:szCs w:val="22"/>
          <w:lang w:val="en-US" w:eastAsia="ja-JP"/>
        </w:rPr>
        <w:t>Whether or how to report DL Tx beam to gNB, e.g.,</w:t>
      </w:r>
    </w:p>
    <w:p w:rsidR="00753639" w:rsidRPr="00B44CCF" w:rsidRDefault="00753639" w:rsidP="00753639">
      <w:pPr>
        <w:numPr>
          <w:ilvl w:val="2"/>
          <w:numId w:val="17"/>
        </w:numPr>
        <w:overflowPunct/>
        <w:autoSpaceDE/>
        <w:autoSpaceDN/>
        <w:adjustRightInd/>
        <w:spacing w:after="0"/>
        <w:textAlignment w:val="auto"/>
        <w:rPr>
          <w:rFonts w:eastAsia="MS Mincho"/>
          <w:i/>
          <w:sz w:val="22"/>
          <w:szCs w:val="22"/>
          <w:lang w:val="en-US" w:eastAsia="ja-JP"/>
        </w:rPr>
      </w:pPr>
      <w:r w:rsidRPr="00B44CCF">
        <w:rPr>
          <w:rFonts w:eastAsia="MS Mincho"/>
          <w:i/>
          <w:sz w:val="22"/>
          <w:szCs w:val="22"/>
          <w:lang w:val="en-US" w:eastAsia="ja-JP"/>
        </w:rPr>
        <w:t>RACH preamble</w:t>
      </w:r>
      <w:r w:rsidRPr="00B44CCF">
        <w:rPr>
          <w:rFonts w:eastAsia="MS Mincho" w:hint="eastAsia"/>
          <w:i/>
          <w:sz w:val="22"/>
          <w:szCs w:val="22"/>
          <w:lang w:val="en-US" w:eastAsia="ja-JP"/>
        </w:rPr>
        <w:t>/resource</w:t>
      </w:r>
    </w:p>
    <w:p w:rsidR="00753639" w:rsidRPr="00B44CCF" w:rsidRDefault="00753639" w:rsidP="00753639">
      <w:pPr>
        <w:numPr>
          <w:ilvl w:val="2"/>
          <w:numId w:val="17"/>
        </w:numPr>
        <w:overflowPunct/>
        <w:autoSpaceDE/>
        <w:autoSpaceDN/>
        <w:adjustRightInd/>
        <w:spacing w:after="0"/>
        <w:textAlignment w:val="auto"/>
        <w:rPr>
          <w:rFonts w:eastAsia="MS Mincho"/>
          <w:i/>
          <w:sz w:val="22"/>
          <w:szCs w:val="22"/>
          <w:lang w:val="en-US" w:eastAsia="ja-JP"/>
        </w:rPr>
      </w:pPr>
      <w:r w:rsidRPr="00B44CCF">
        <w:rPr>
          <w:rFonts w:eastAsia="MS Mincho"/>
          <w:i/>
          <w:sz w:val="22"/>
          <w:szCs w:val="22"/>
          <w:lang w:val="en-US" w:eastAsia="ja-JP"/>
        </w:rPr>
        <w:t>Msg. 3</w:t>
      </w:r>
    </w:p>
    <w:p w:rsidR="00753639" w:rsidRPr="00B44CCF" w:rsidRDefault="00753639" w:rsidP="00753639">
      <w:pPr>
        <w:numPr>
          <w:ilvl w:val="1"/>
          <w:numId w:val="17"/>
        </w:numPr>
        <w:overflowPunct/>
        <w:autoSpaceDE/>
        <w:autoSpaceDN/>
        <w:adjustRightInd/>
        <w:spacing w:after="0"/>
        <w:textAlignment w:val="auto"/>
        <w:rPr>
          <w:rFonts w:eastAsia="MS Mincho"/>
          <w:i/>
          <w:sz w:val="22"/>
          <w:szCs w:val="22"/>
          <w:lang w:val="en-US" w:eastAsia="ja-JP"/>
        </w:rPr>
      </w:pPr>
      <w:r w:rsidRPr="00B44CCF">
        <w:rPr>
          <w:rFonts w:eastAsia="MS Mincho"/>
          <w:i/>
          <w:sz w:val="22"/>
          <w:szCs w:val="22"/>
          <w:lang w:val="en-US" w:eastAsia="ja-JP"/>
        </w:rPr>
        <w:t xml:space="preserve">Whether or how to indicate UL Tx beam to the UE, e.g., </w:t>
      </w:r>
    </w:p>
    <w:p w:rsidR="00753639" w:rsidRPr="00B44CCF" w:rsidRDefault="00753639" w:rsidP="00753639">
      <w:pPr>
        <w:numPr>
          <w:ilvl w:val="2"/>
          <w:numId w:val="17"/>
        </w:numPr>
        <w:overflowPunct/>
        <w:autoSpaceDE/>
        <w:autoSpaceDN/>
        <w:adjustRightInd/>
        <w:spacing w:after="0"/>
        <w:textAlignment w:val="auto"/>
        <w:rPr>
          <w:rFonts w:eastAsia="MS Mincho"/>
          <w:i/>
          <w:sz w:val="22"/>
          <w:szCs w:val="22"/>
          <w:lang w:val="en-US" w:eastAsia="ja-JP"/>
        </w:rPr>
      </w:pPr>
      <w:r w:rsidRPr="00B44CCF">
        <w:rPr>
          <w:rFonts w:eastAsia="MS Mincho"/>
          <w:i/>
          <w:sz w:val="22"/>
          <w:szCs w:val="22"/>
          <w:lang w:val="en-US" w:eastAsia="ja-JP"/>
        </w:rPr>
        <w:t>RAR</w:t>
      </w:r>
    </w:p>
    <w:p w:rsidR="00753639" w:rsidRDefault="00753639" w:rsidP="00753639">
      <w:pPr>
        <w:ind w:firstLine="284"/>
        <w:jc w:val="both"/>
        <w:rPr>
          <w:sz w:val="22"/>
          <w:szCs w:val="22"/>
          <w:lang w:eastAsia="zh-CN"/>
        </w:rPr>
      </w:pPr>
      <w:r>
        <w:rPr>
          <w:sz w:val="22"/>
          <w:szCs w:val="22"/>
          <w:lang w:eastAsia="zh-CN"/>
        </w:rPr>
        <w:t xml:space="preserve">In [3], we have discussed some issues for the TA derivation for non-reciprocal UE, and we have observed that independent UL/DL beam management can result in large TA range. As the common RACH procedure should be strived for the cases with and without Tx/Rx reciprocity, in this contribution, we would like to discuss the TA derivation issue for the cases with and without Tx/Rx reciprocity. </w:t>
      </w:r>
    </w:p>
    <w:p w:rsidR="0027619E" w:rsidRDefault="0027619E" w:rsidP="00753639">
      <w:pPr>
        <w:ind w:firstLine="284"/>
        <w:jc w:val="both"/>
        <w:rPr>
          <w:sz w:val="22"/>
          <w:szCs w:val="22"/>
          <w:lang w:eastAsia="zh-CN"/>
        </w:rPr>
      </w:pPr>
    </w:p>
    <w:p w:rsidR="00753639" w:rsidRDefault="00753639" w:rsidP="00753639">
      <w:pPr>
        <w:pStyle w:val="Heading1"/>
        <w:numPr>
          <w:ilvl w:val="0"/>
          <w:numId w:val="15"/>
        </w:numPr>
        <w:spacing w:before="120" w:after="60"/>
        <w:jc w:val="both"/>
        <w:rPr>
          <w:rFonts w:cs="Arial"/>
          <w:lang w:val="en-US"/>
        </w:rPr>
      </w:pPr>
      <w:r>
        <w:rPr>
          <w:rFonts w:cs="Arial"/>
          <w:lang w:val="en-US" w:eastAsia="zh-CN"/>
        </w:rPr>
        <w:t>Discussion</w:t>
      </w:r>
    </w:p>
    <w:p w:rsidR="00753639" w:rsidRDefault="00753639" w:rsidP="00753639">
      <w:pPr>
        <w:ind w:firstLine="284"/>
        <w:jc w:val="both"/>
        <w:rPr>
          <w:sz w:val="22"/>
          <w:szCs w:val="22"/>
          <w:lang w:val="en-US" w:eastAsia="zh-CN"/>
        </w:rPr>
      </w:pPr>
      <w:r>
        <w:rPr>
          <w:sz w:val="22"/>
          <w:szCs w:val="22"/>
          <w:lang w:eastAsia="zh-CN"/>
        </w:rPr>
        <w:t xml:space="preserve">To incorporate UE beamforming gain in initial access, it would be beneficial for the UE to perform DL beam management procedure P-1 to acquire TRP TX beam and UE RX beam. However, there is no guarantee that the acquired DL TRP-UE beam pair is the best UL TRP-UE beam pair. In fact, UE may trade the acquired beam quality with the access latency as further beam optimization for data communication can be left for DL beam management procedure P-2/P-3. For UE with at least partial channel reciprocity, </w:t>
      </w:r>
      <w:r>
        <w:rPr>
          <w:sz w:val="22"/>
          <w:szCs w:val="22"/>
          <w:lang w:val="en-US" w:eastAsia="zh-CN"/>
        </w:rPr>
        <w:t>it can use the acquired DL RX beam as UL TX beam to send PRACH signal. On the other hand for UE without channel reciprocity, UE/TRP has to perform independent UL beam management procedure U-1 using PRACH</w:t>
      </w:r>
      <w:r>
        <w:rPr>
          <w:sz w:val="22"/>
          <w:szCs w:val="22"/>
          <w:lang w:val="en-US" w:eastAsia="zh-CN"/>
        </w:rPr>
        <w:fldChar w:fldCharType="begin"/>
      </w:r>
      <w:r>
        <w:rPr>
          <w:sz w:val="22"/>
          <w:szCs w:val="22"/>
          <w:lang w:val="en-US" w:eastAsia="zh-CN"/>
        </w:rPr>
        <w:instrText xml:space="preserve"> REF _Ref462911727 \r \h </w:instrText>
      </w:r>
      <w:r>
        <w:rPr>
          <w:sz w:val="22"/>
          <w:szCs w:val="22"/>
          <w:lang w:val="en-US" w:eastAsia="zh-CN"/>
        </w:rPr>
      </w:r>
      <w:r>
        <w:rPr>
          <w:sz w:val="22"/>
          <w:szCs w:val="22"/>
          <w:lang w:val="en-US" w:eastAsia="zh-CN"/>
        </w:rPr>
        <w:fldChar w:fldCharType="end"/>
      </w:r>
      <w:r>
        <w:rPr>
          <w:sz w:val="22"/>
          <w:szCs w:val="22"/>
          <w:lang w:val="en-US" w:eastAsia="zh-CN"/>
        </w:rPr>
        <w:t xml:space="preserve">. Similarly, UE/TRP can perform UL UE/TRP beam sweeping until a good UL UE-TRP beam pair has been identified. Although the channel by nature is reciprocal in particular in a TDD system, the acquired DL TRP-UE beam pair may propagate through different </w:t>
      </w:r>
      <w:r>
        <w:rPr>
          <w:sz w:val="22"/>
          <w:szCs w:val="22"/>
          <w:lang w:val="en-US" w:eastAsia="zh-CN"/>
        </w:rPr>
        <w:lastRenderedPageBreak/>
        <w:t>channel paths from the acquired UL UE-TRP beam pair due to independent DL/UL beam management procedures. Generally with regard to the channel reciprocity, there can be the following cases during initial access:</w:t>
      </w:r>
    </w:p>
    <w:p w:rsidR="00753639" w:rsidRDefault="00753639" w:rsidP="00753639">
      <w:pPr>
        <w:ind w:firstLine="284"/>
        <w:jc w:val="both"/>
        <w:rPr>
          <w:sz w:val="22"/>
          <w:szCs w:val="22"/>
          <w:lang w:val="en-US" w:eastAsia="zh-CN"/>
        </w:rPr>
      </w:pPr>
      <w:r>
        <w:rPr>
          <w:sz w:val="22"/>
          <w:szCs w:val="22"/>
          <w:lang w:val="en-US" w:eastAsia="zh-CN"/>
        </w:rPr>
        <w:t>Case 1: same UE TX/RX beam, same TRP TX/RX beam</w:t>
      </w:r>
    </w:p>
    <w:p w:rsidR="00753639" w:rsidRDefault="00753639" w:rsidP="00753639">
      <w:pPr>
        <w:ind w:firstLine="284"/>
        <w:jc w:val="both"/>
        <w:rPr>
          <w:sz w:val="22"/>
          <w:szCs w:val="22"/>
          <w:lang w:val="en-US" w:eastAsia="zh-CN"/>
        </w:rPr>
      </w:pPr>
      <w:r>
        <w:rPr>
          <w:sz w:val="22"/>
          <w:szCs w:val="22"/>
          <w:lang w:val="en-US" w:eastAsia="zh-CN"/>
        </w:rPr>
        <w:t>Case 2: different UE TX/RX beam, same TRP TX/RX beam</w:t>
      </w:r>
    </w:p>
    <w:p w:rsidR="00753639" w:rsidRDefault="00753639" w:rsidP="00753639">
      <w:pPr>
        <w:ind w:firstLine="284"/>
        <w:jc w:val="both"/>
        <w:rPr>
          <w:sz w:val="22"/>
          <w:szCs w:val="22"/>
          <w:lang w:val="en-US" w:eastAsia="zh-CN"/>
        </w:rPr>
      </w:pPr>
      <w:r>
        <w:rPr>
          <w:sz w:val="22"/>
          <w:szCs w:val="22"/>
          <w:lang w:val="en-US" w:eastAsia="zh-CN"/>
        </w:rPr>
        <w:t>Case 3: same UE TX/RX beam, different TRP TX/RX beam</w:t>
      </w:r>
    </w:p>
    <w:p w:rsidR="00753639" w:rsidRPr="000D50BD" w:rsidRDefault="00753639" w:rsidP="00753639">
      <w:pPr>
        <w:ind w:firstLine="284"/>
        <w:jc w:val="both"/>
        <w:rPr>
          <w:sz w:val="22"/>
          <w:szCs w:val="22"/>
          <w:lang w:val="en-US" w:eastAsia="zh-CN"/>
        </w:rPr>
      </w:pPr>
      <w:r>
        <w:rPr>
          <w:sz w:val="22"/>
          <w:szCs w:val="22"/>
          <w:lang w:val="en-US" w:eastAsia="zh-CN"/>
        </w:rPr>
        <w:t>Case 4: different UE TX/RX beam, different TRP TX/RX beam</w:t>
      </w:r>
    </w:p>
    <w:p w:rsidR="00753639" w:rsidRDefault="00753639" w:rsidP="00753639">
      <w:pPr>
        <w:ind w:firstLine="284"/>
        <w:jc w:val="both"/>
        <w:rPr>
          <w:sz w:val="22"/>
          <w:szCs w:val="22"/>
          <w:lang w:eastAsia="zh-CN"/>
        </w:rPr>
      </w:pPr>
      <w:r>
        <w:rPr>
          <w:rFonts w:hint="eastAsia"/>
          <w:sz w:val="22"/>
          <w:szCs w:val="22"/>
          <w:lang w:val="en-US" w:eastAsia="zh-CN"/>
        </w:rPr>
        <w:t>When deriving the TA, the Round Trip Delay (</w:t>
      </w:r>
      <w:r>
        <w:rPr>
          <w:sz w:val="22"/>
          <w:szCs w:val="22"/>
          <w:lang w:val="en-US" w:eastAsia="zh-CN"/>
        </w:rPr>
        <w:t>RTD</w:t>
      </w:r>
      <w:r>
        <w:rPr>
          <w:rFonts w:hint="eastAsia"/>
          <w:sz w:val="22"/>
          <w:szCs w:val="22"/>
          <w:lang w:val="en-US" w:eastAsia="zh-CN"/>
        </w:rPr>
        <w:t>)</w:t>
      </w:r>
      <w:r>
        <w:rPr>
          <w:sz w:val="22"/>
          <w:szCs w:val="22"/>
          <w:lang w:val="en-US" w:eastAsia="zh-CN"/>
        </w:rPr>
        <w:t xml:space="preserve"> can be calculated by </w:t>
      </w:r>
      <m:oMath>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ctrlPr>
              <w:rPr>
                <w:rFonts w:ascii="Cambria Math" w:hAnsi="Cambria Math"/>
                <w:i/>
                <w:sz w:val="22"/>
                <w:szCs w:val="22"/>
                <w:lang w:eastAsia="zh-CN"/>
              </w:rPr>
            </m:ctrlPr>
          </m:e>
          <m:sub>
            <m:r>
              <w:rPr>
                <w:rFonts w:ascii="Cambria Math" w:hAnsi="Cambria Math" w:hint="eastAsia"/>
                <w:sz w:val="22"/>
                <w:szCs w:val="22"/>
                <w:vertAlign w:val="subscript"/>
                <w:lang w:eastAsia="zh-CN"/>
              </w:rPr>
              <m:t>DL</m:t>
            </m:r>
          </m:sub>
        </m:sSub>
        <m:r>
          <w:rPr>
            <w:rFonts w:ascii="Cambria Math" w:hAnsi="Cambria Math" w:hint="eastAsia"/>
            <w:sz w:val="22"/>
            <w:szCs w:val="22"/>
            <w:vertAlign w:val="subscript"/>
            <w:lang w:eastAsia="zh-CN"/>
          </w:rPr>
          <m:t>+</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UL</m:t>
            </m:r>
          </m:sub>
        </m:sSub>
        <m:r>
          <w:rPr>
            <w:rFonts w:ascii="Cambria Math" w:hAnsi="Cambria Math" w:hint="eastAsia"/>
            <w:sz w:val="22"/>
            <w:szCs w:val="22"/>
            <w:vertAlign w:val="subscript"/>
            <w:lang w:eastAsia="zh-CN"/>
          </w:rPr>
          <m:t>=2</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DL</m:t>
            </m:r>
          </m:sub>
        </m:sSub>
        <m:r>
          <w:rPr>
            <w:rFonts w:ascii="Cambria Math" w:hAnsi="Cambria Math"/>
            <w:sz w:val="22"/>
            <w:szCs w:val="22"/>
            <w:vertAlign w:val="subscript"/>
            <w:lang w:eastAsia="zh-CN"/>
          </w:rPr>
          <m:t>+∆t</m:t>
        </m:r>
      </m:oMath>
      <w:r>
        <w:rPr>
          <w:sz w:val="22"/>
          <w:szCs w:val="22"/>
          <w:lang w:eastAsia="zh-CN"/>
        </w:rPr>
        <w:t xml:space="preserve">, where </w:t>
      </w:r>
      <m:oMath>
        <m:r>
          <w:rPr>
            <w:rFonts w:ascii="Cambria Math" w:hAnsi="Cambria Math"/>
            <w:sz w:val="22"/>
            <w:szCs w:val="22"/>
            <w:vertAlign w:val="subscript"/>
            <w:lang w:eastAsia="zh-CN"/>
          </w:rPr>
          <m:t>∆t</m:t>
        </m:r>
      </m:oMath>
      <w:r>
        <w:rPr>
          <w:sz w:val="22"/>
          <w:szCs w:val="22"/>
          <w:lang w:eastAsia="zh-CN"/>
        </w:rPr>
        <w:t xml:space="preserve"> indicates the time difference between the different channel clusters that the DL and UL beam pair propagate through. For case 1, which can be viewed with full channel reciprocity in both TRP and UE side, </w:t>
      </w:r>
      <m:oMath>
        <m:r>
          <w:rPr>
            <w:rFonts w:ascii="Cambria Math" w:hAnsi="Cambria Math"/>
            <w:sz w:val="22"/>
            <w:szCs w:val="22"/>
            <w:vertAlign w:val="subscript"/>
            <w:lang w:eastAsia="zh-CN"/>
          </w:rPr>
          <m:t>∆t</m:t>
        </m:r>
      </m:oMath>
      <w:r>
        <w:rPr>
          <w:sz w:val="22"/>
          <w:szCs w:val="22"/>
          <w:lang w:eastAsia="zh-CN"/>
        </w:rPr>
        <w:t xml:space="preserve"> can be 0 and for the other cases, which may come from non-calibrated antenna in either UE side or TRP side or both side, </w:t>
      </w:r>
      <m:oMath>
        <m:r>
          <w:rPr>
            <w:rFonts w:ascii="Cambria Math" w:hAnsi="Cambria Math"/>
            <w:sz w:val="22"/>
            <w:szCs w:val="22"/>
            <w:vertAlign w:val="subscript"/>
            <w:lang w:eastAsia="zh-CN"/>
          </w:rPr>
          <m:t>∆t</m:t>
        </m:r>
      </m:oMath>
      <w:r>
        <w:rPr>
          <w:sz w:val="22"/>
          <w:szCs w:val="22"/>
          <w:lang w:eastAsia="zh-CN"/>
        </w:rPr>
        <w:t xml:space="preserve"> should be above 0. </w:t>
      </w:r>
    </w:p>
    <w:p w:rsidR="00753639" w:rsidRDefault="00753639" w:rsidP="00753639">
      <w:pPr>
        <w:ind w:firstLine="284"/>
        <w:jc w:val="both"/>
        <w:rPr>
          <w:sz w:val="22"/>
          <w:szCs w:val="22"/>
          <w:lang w:val="en-US" w:eastAsia="zh-CN"/>
        </w:rPr>
      </w:pPr>
      <w:r>
        <w:rPr>
          <w:sz w:val="22"/>
          <w:szCs w:val="22"/>
          <w:lang w:val="en-US" w:eastAsia="zh-CN"/>
        </w:rPr>
        <w:fldChar w:fldCharType="begin"/>
      </w:r>
      <w:r>
        <w:rPr>
          <w:sz w:val="22"/>
          <w:szCs w:val="22"/>
          <w:lang w:val="en-US" w:eastAsia="zh-CN"/>
        </w:rPr>
        <w:instrText xml:space="preserve"> REF _Ref462738024 \h  \* MERGEFORMAT </w:instrText>
      </w:r>
      <w:r>
        <w:rPr>
          <w:sz w:val="22"/>
          <w:szCs w:val="22"/>
          <w:lang w:val="en-US" w:eastAsia="zh-CN"/>
        </w:rPr>
      </w:r>
      <w:r>
        <w:rPr>
          <w:sz w:val="22"/>
          <w:szCs w:val="22"/>
          <w:lang w:val="en-US" w:eastAsia="zh-CN"/>
        </w:rPr>
        <w:fldChar w:fldCharType="separate"/>
      </w:r>
      <w:r w:rsidRPr="00440F16">
        <w:rPr>
          <w:sz w:val="22"/>
          <w:szCs w:val="22"/>
          <w:lang w:val="en-US" w:eastAsia="zh-CN"/>
        </w:rPr>
        <w:t xml:space="preserve">Figure </w:t>
      </w:r>
      <w:r>
        <w:rPr>
          <w:sz w:val="22"/>
          <w:szCs w:val="22"/>
          <w:lang w:val="en-US" w:eastAsia="zh-CN"/>
        </w:rPr>
        <w:fldChar w:fldCharType="end"/>
      </w:r>
      <w:r>
        <w:rPr>
          <w:sz w:val="22"/>
          <w:szCs w:val="22"/>
          <w:lang w:val="en-US" w:eastAsia="zh-CN"/>
        </w:rPr>
        <w:t>1 illustrates the CDF of potential additional TA range with independent DL/UL beam sweep for UMi indoor UEs at 30GHz carrier frequency. The UEs with two strongest channel clusters having less than 3dB power difference are chosen. And the additional TA range is calculated as channel cluster delay difference. Roughly 73% indoor UEs satisfy this condition. If we assume that CP is reduced proportionally to sub-carrier spacing, normal CP length is reduced to 1.17 us for 60 kHz subcarrier spacing and scaled down further with wider sub-carrier spacing. Then the additional TA range can be comparable or even much larger than CP length.</w:t>
      </w:r>
    </w:p>
    <w:p w:rsidR="00753639" w:rsidRPr="00B07BB5" w:rsidRDefault="00753639" w:rsidP="00753639">
      <w:pPr>
        <w:ind w:firstLine="284"/>
        <w:jc w:val="center"/>
        <w:rPr>
          <w:sz w:val="22"/>
          <w:szCs w:val="22"/>
          <w:lang w:val="en-US" w:eastAsia="zh-CN"/>
        </w:rPr>
      </w:pPr>
      <w:r w:rsidRPr="00B07BB5">
        <w:rPr>
          <w:rFonts w:hint="eastAsia"/>
          <w:noProof/>
          <w:sz w:val="22"/>
          <w:szCs w:val="22"/>
          <w:lang w:val="en-US" w:eastAsia="ko-KR"/>
        </w:rPr>
        <w:drawing>
          <wp:inline distT="0" distB="0" distL="0" distR="0" wp14:anchorId="19535142" wp14:editId="2C610820">
            <wp:extent cx="2714400" cy="203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14400" cy="2034000"/>
                    </a:xfrm>
                    <a:prstGeom prst="rect">
                      <a:avLst/>
                    </a:prstGeom>
                    <a:noFill/>
                    <a:ln>
                      <a:noFill/>
                    </a:ln>
                  </pic:spPr>
                </pic:pic>
              </a:graphicData>
            </a:graphic>
          </wp:inline>
        </w:drawing>
      </w:r>
    </w:p>
    <w:p w:rsidR="00753639" w:rsidRDefault="00753639" w:rsidP="00753639">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Potential additional TA </w:t>
      </w:r>
      <m:oMath>
        <m:r>
          <m:rPr>
            <m:sty m:val="bi"/>
          </m:rPr>
          <w:rPr>
            <w:rFonts w:ascii="Cambria Math" w:hAnsi="Cambria Math"/>
            <w:sz w:val="22"/>
            <w:szCs w:val="22"/>
            <w:vertAlign w:val="subscript"/>
            <w:lang w:eastAsia="zh-CN"/>
          </w:rPr>
          <m:t>∆t</m:t>
        </m:r>
      </m:oMath>
      <w:r>
        <w:t xml:space="preserve"> range with independent DL/UL beam sweep.</w:t>
      </w:r>
    </w:p>
    <w:p w:rsidR="00753639" w:rsidRPr="00B44CCF" w:rsidRDefault="00753639" w:rsidP="00753639">
      <w:pPr>
        <w:ind w:firstLine="284"/>
        <w:jc w:val="both"/>
        <w:rPr>
          <w:sz w:val="22"/>
          <w:szCs w:val="22"/>
          <w:lang w:val="en-US" w:eastAsia="zh-CN"/>
        </w:rPr>
      </w:pPr>
      <w:r>
        <w:rPr>
          <w:sz w:val="22"/>
          <w:szCs w:val="22"/>
          <w:lang w:eastAsia="zh-CN"/>
        </w:rPr>
        <w:t>Therefore the range of TA for different cases could be quite different. For example, if the channel reciprocity can be confirmed in both TRP and UE side, the range of TA can be small. However if no channel reciprocity can be confirmed, the range of TA can be large. Such channel reciprocity is determined by whether both UE and TRP antenna is calibrated. Thus to save the overhead of RAR, for calibrated UE and TRP, the size of TA bit width can be small. So some signalling to indicate the reciprocity in TRP and UE side could be helpful to determine the range of TA.</w:t>
      </w:r>
    </w:p>
    <w:p w:rsidR="00753639" w:rsidRDefault="00753639" w:rsidP="00753639">
      <w:pPr>
        <w:ind w:firstLine="284"/>
        <w:jc w:val="both"/>
        <w:rPr>
          <w:b/>
          <w:i/>
          <w:sz w:val="22"/>
          <w:szCs w:val="22"/>
          <w:lang w:eastAsia="zh-CN"/>
        </w:rPr>
      </w:pPr>
      <w:r>
        <w:rPr>
          <w:rFonts w:hint="eastAsia"/>
          <w:b/>
          <w:i/>
          <w:sz w:val="22"/>
          <w:szCs w:val="22"/>
          <w:lang w:eastAsia="zh-CN"/>
        </w:rPr>
        <w:t xml:space="preserve">Observation 1: </w:t>
      </w:r>
      <w:r>
        <w:rPr>
          <w:b/>
          <w:i/>
          <w:sz w:val="22"/>
          <w:szCs w:val="22"/>
          <w:lang w:eastAsia="zh-CN"/>
        </w:rPr>
        <w:t>the range of TA can be determined by whether the antenna is calibrated in TRP and UE side.</w:t>
      </w:r>
    </w:p>
    <w:p w:rsidR="00753639" w:rsidRDefault="00753639" w:rsidP="00753639">
      <w:pPr>
        <w:ind w:firstLine="284"/>
        <w:jc w:val="both"/>
        <w:rPr>
          <w:b/>
          <w:i/>
          <w:sz w:val="22"/>
          <w:szCs w:val="22"/>
          <w:lang w:eastAsia="zh-CN"/>
        </w:rPr>
      </w:pPr>
      <w:r>
        <w:rPr>
          <w:b/>
          <w:i/>
          <w:sz w:val="22"/>
          <w:szCs w:val="22"/>
          <w:lang w:eastAsia="zh-CN"/>
        </w:rPr>
        <w:t>Proposal 1: different range of TA in RAR can be considered for different reciprocity cases to save the overhead.</w:t>
      </w:r>
    </w:p>
    <w:p w:rsidR="00753639" w:rsidRDefault="00753639" w:rsidP="00753639">
      <w:pPr>
        <w:ind w:firstLine="284"/>
        <w:jc w:val="both"/>
        <w:rPr>
          <w:b/>
          <w:i/>
          <w:sz w:val="22"/>
          <w:szCs w:val="22"/>
          <w:lang w:eastAsia="zh-CN"/>
        </w:rPr>
      </w:pPr>
      <w:r>
        <w:rPr>
          <w:b/>
          <w:i/>
          <w:sz w:val="22"/>
          <w:szCs w:val="22"/>
          <w:lang w:eastAsia="zh-CN"/>
        </w:rPr>
        <w:t>Proposal 2: some signalling on the indication of reciprocity in TRP and UE side during initial access can be taken into account to determine the range of TA.</w:t>
      </w:r>
    </w:p>
    <w:p w:rsidR="00753639" w:rsidRDefault="00753639" w:rsidP="00753639">
      <w:pPr>
        <w:jc w:val="both"/>
        <w:rPr>
          <w:b/>
          <w:i/>
          <w:sz w:val="22"/>
          <w:szCs w:val="22"/>
          <w:lang w:eastAsia="zh-CN"/>
        </w:rPr>
      </w:pPr>
    </w:p>
    <w:p w:rsidR="00753639" w:rsidRDefault="00753639" w:rsidP="00753639">
      <w:pPr>
        <w:pStyle w:val="Heading1"/>
        <w:numPr>
          <w:ilvl w:val="0"/>
          <w:numId w:val="15"/>
        </w:numPr>
        <w:pBdr>
          <w:top w:val="single" w:sz="12" w:space="4" w:color="auto"/>
        </w:pBdr>
        <w:rPr>
          <w:rFonts w:cs="Arial"/>
          <w:lang w:val="en-US"/>
        </w:rPr>
      </w:pPr>
      <w:r>
        <w:rPr>
          <w:rFonts w:cs="Arial"/>
          <w:lang w:val="en-US"/>
        </w:rPr>
        <w:lastRenderedPageBreak/>
        <w:t>Conclusions</w:t>
      </w:r>
    </w:p>
    <w:p w:rsidR="00753639" w:rsidRDefault="00753639" w:rsidP="00753639">
      <w:pPr>
        <w:ind w:firstLine="360"/>
        <w:jc w:val="both"/>
        <w:rPr>
          <w:sz w:val="22"/>
          <w:szCs w:val="22"/>
          <w:lang w:eastAsia="zh-CN"/>
        </w:rPr>
      </w:pPr>
      <w:r w:rsidRPr="0020001D">
        <w:rPr>
          <w:sz w:val="22"/>
          <w:szCs w:val="22"/>
          <w:lang w:eastAsia="zh-CN"/>
        </w:rPr>
        <w:t xml:space="preserve">In this contribution we </w:t>
      </w:r>
      <w:r>
        <w:rPr>
          <w:sz w:val="22"/>
          <w:szCs w:val="22"/>
          <w:lang w:eastAsia="zh-CN"/>
        </w:rPr>
        <w:t>have discussed the TA derivation for the cases with and without reciprocity</w:t>
      </w:r>
      <w:r w:rsidR="00F518C1">
        <w:rPr>
          <w:sz w:val="22"/>
          <w:szCs w:val="22"/>
          <w:lang w:eastAsia="zh-CN"/>
        </w:rPr>
        <w:t>, and its impact to RAR signaling</w:t>
      </w:r>
      <w:bookmarkStart w:id="0" w:name="_GoBack"/>
      <w:bookmarkEnd w:id="0"/>
      <w:r>
        <w:rPr>
          <w:sz w:val="22"/>
          <w:szCs w:val="22"/>
          <w:lang w:eastAsia="zh-CN"/>
        </w:rPr>
        <w:t>. We have the below observations and proposals:</w:t>
      </w:r>
    </w:p>
    <w:p w:rsidR="00753639" w:rsidRDefault="00753639" w:rsidP="00753639">
      <w:pPr>
        <w:ind w:firstLine="284"/>
        <w:jc w:val="both"/>
        <w:rPr>
          <w:b/>
          <w:i/>
          <w:sz w:val="22"/>
          <w:szCs w:val="22"/>
          <w:lang w:eastAsia="zh-CN"/>
        </w:rPr>
      </w:pPr>
      <w:r>
        <w:rPr>
          <w:rFonts w:hint="eastAsia"/>
          <w:b/>
          <w:i/>
          <w:sz w:val="22"/>
          <w:szCs w:val="22"/>
          <w:lang w:eastAsia="zh-CN"/>
        </w:rPr>
        <w:t xml:space="preserve">Observation 1: </w:t>
      </w:r>
      <w:r>
        <w:rPr>
          <w:b/>
          <w:i/>
          <w:sz w:val="22"/>
          <w:szCs w:val="22"/>
          <w:lang w:eastAsia="zh-CN"/>
        </w:rPr>
        <w:t>the range of TA can be determined by whether the antenna is calibrated in TRP and UE side.</w:t>
      </w:r>
    </w:p>
    <w:p w:rsidR="00753639" w:rsidRDefault="00753639" w:rsidP="00753639">
      <w:pPr>
        <w:ind w:firstLine="284"/>
        <w:jc w:val="both"/>
        <w:rPr>
          <w:b/>
          <w:i/>
          <w:sz w:val="22"/>
          <w:szCs w:val="22"/>
          <w:lang w:eastAsia="zh-CN"/>
        </w:rPr>
      </w:pPr>
      <w:r>
        <w:rPr>
          <w:b/>
          <w:i/>
          <w:sz w:val="22"/>
          <w:szCs w:val="22"/>
          <w:lang w:eastAsia="zh-CN"/>
        </w:rPr>
        <w:t>Proposal 1: different range of TA in RAR can be considered for different reciprocity cases to save the overhead.</w:t>
      </w:r>
    </w:p>
    <w:p w:rsidR="00753639" w:rsidRDefault="00753639" w:rsidP="00753639">
      <w:pPr>
        <w:ind w:firstLine="284"/>
        <w:jc w:val="both"/>
        <w:rPr>
          <w:b/>
          <w:i/>
          <w:sz w:val="22"/>
          <w:szCs w:val="22"/>
          <w:lang w:eastAsia="zh-CN"/>
        </w:rPr>
      </w:pPr>
      <w:r>
        <w:rPr>
          <w:b/>
          <w:i/>
          <w:sz w:val="22"/>
          <w:szCs w:val="22"/>
          <w:lang w:eastAsia="zh-CN"/>
        </w:rPr>
        <w:t>Proposal 2: some signalling on the indication of reciprocity in TRP and UE side during initial access can be taken into account to determine the range of TA.</w:t>
      </w:r>
    </w:p>
    <w:p w:rsidR="00753639" w:rsidRDefault="00753639" w:rsidP="00753639">
      <w:pPr>
        <w:jc w:val="both"/>
        <w:rPr>
          <w:b/>
          <w:i/>
          <w:sz w:val="22"/>
          <w:szCs w:val="22"/>
          <w:lang w:eastAsia="zh-CN"/>
        </w:rPr>
      </w:pPr>
    </w:p>
    <w:p w:rsidR="00753639" w:rsidRPr="00534451" w:rsidRDefault="00753639" w:rsidP="00753639">
      <w:pPr>
        <w:pStyle w:val="Heading1"/>
        <w:pBdr>
          <w:top w:val="single" w:sz="12" w:space="4" w:color="auto"/>
        </w:pBdr>
        <w:ind w:left="0" w:firstLine="0"/>
        <w:rPr>
          <w:rFonts w:cs="Arial"/>
          <w:lang w:val="en-US" w:eastAsia="zh-CN"/>
        </w:rPr>
      </w:pPr>
      <w:r w:rsidRPr="00FF2077">
        <w:rPr>
          <w:rFonts w:cs="Arial"/>
          <w:lang w:val="en-US"/>
        </w:rPr>
        <w:t>References</w:t>
      </w:r>
    </w:p>
    <w:p w:rsidR="00753639" w:rsidRDefault="00753639" w:rsidP="00753639">
      <w:pPr>
        <w:numPr>
          <w:ilvl w:val="0"/>
          <w:numId w:val="2"/>
        </w:numPr>
        <w:rPr>
          <w:sz w:val="22"/>
          <w:szCs w:val="22"/>
          <w:lang w:val="en-US" w:eastAsia="ja-JP"/>
        </w:rPr>
      </w:pPr>
      <w:r>
        <w:rPr>
          <w:sz w:val="22"/>
          <w:szCs w:val="22"/>
          <w:lang w:val="en-US"/>
        </w:rPr>
        <w:t>Chairman Notes RAN1 #86bis</w:t>
      </w:r>
    </w:p>
    <w:p w:rsidR="00753639" w:rsidRPr="00B44CCF" w:rsidRDefault="00753639" w:rsidP="00753639">
      <w:pPr>
        <w:numPr>
          <w:ilvl w:val="0"/>
          <w:numId w:val="2"/>
        </w:numPr>
        <w:rPr>
          <w:sz w:val="22"/>
          <w:szCs w:val="22"/>
          <w:lang w:val="en-US" w:eastAsia="ja-JP"/>
        </w:rPr>
      </w:pPr>
      <w:r w:rsidRPr="00B44CCF">
        <w:rPr>
          <w:sz w:val="22"/>
          <w:szCs w:val="22"/>
          <w:lang w:val="en-US"/>
        </w:rPr>
        <w:t>R1-1610489</w:t>
      </w:r>
      <w:r>
        <w:rPr>
          <w:sz w:val="22"/>
          <w:szCs w:val="22"/>
          <w:lang w:val="en-US" w:eastAsia="ja-JP"/>
        </w:rPr>
        <w:t>, “</w:t>
      </w:r>
      <w:r w:rsidRPr="00B44CCF">
        <w:rPr>
          <w:sz w:val="22"/>
          <w:szCs w:val="22"/>
          <w:lang w:val="en-US" w:eastAsia="ja-JP"/>
        </w:rPr>
        <w:t>WF on RACH Procedure for Multi-beam Operation</w:t>
      </w:r>
      <w:r>
        <w:rPr>
          <w:sz w:val="22"/>
          <w:szCs w:val="22"/>
          <w:lang w:val="en-US" w:eastAsia="ja-JP"/>
        </w:rPr>
        <w:t xml:space="preserve">”, </w:t>
      </w:r>
      <w:r w:rsidRPr="00B44CCF">
        <w:rPr>
          <w:sz w:val="22"/>
          <w:szCs w:val="22"/>
          <w:lang w:val="en-US" w:eastAsia="ja-JP"/>
        </w:rPr>
        <w:t>NTT DOCOMO, ETRI, Qualcomm, Nokia, Alcatel-Lucent Shanghai-Bell, ZTE</w:t>
      </w:r>
    </w:p>
    <w:p w:rsidR="00753639" w:rsidRPr="00B44CCF" w:rsidRDefault="00753639" w:rsidP="00753639">
      <w:pPr>
        <w:numPr>
          <w:ilvl w:val="0"/>
          <w:numId w:val="2"/>
        </w:numPr>
        <w:rPr>
          <w:sz w:val="22"/>
          <w:szCs w:val="22"/>
          <w:lang w:val="en-US" w:eastAsia="ja-JP"/>
        </w:rPr>
      </w:pPr>
      <w:bookmarkStart w:id="1" w:name="_Ref462911727"/>
      <w:r w:rsidRPr="00B44CCF">
        <w:rPr>
          <w:sz w:val="22"/>
          <w:szCs w:val="22"/>
          <w:lang w:val="en-US"/>
        </w:rPr>
        <w:t>R1-1609533</w:t>
      </w:r>
      <w:r w:rsidRPr="00B44CCF">
        <w:rPr>
          <w:sz w:val="22"/>
          <w:szCs w:val="22"/>
          <w:lang w:val="en-US" w:eastAsia="ja-JP"/>
        </w:rPr>
        <w:t xml:space="preserve">, </w:t>
      </w:r>
      <w:r>
        <w:rPr>
          <w:sz w:val="22"/>
          <w:szCs w:val="22"/>
          <w:lang w:val="en-US" w:eastAsia="ja-JP"/>
        </w:rPr>
        <w:t>“</w:t>
      </w:r>
      <w:r w:rsidRPr="00B44CCF">
        <w:rPr>
          <w:sz w:val="22"/>
          <w:szCs w:val="22"/>
          <w:lang w:val="en-US" w:eastAsia="ja-JP"/>
        </w:rPr>
        <w:t>Time Advance derivation for non-reciprocal UE</w:t>
      </w:r>
      <w:r>
        <w:rPr>
          <w:sz w:val="22"/>
          <w:szCs w:val="22"/>
          <w:lang w:val="en-US" w:eastAsia="ja-JP"/>
        </w:rPr>
        <w:t>”,</w:t>
      </w:r>
      <w:r w:rsidRPr="00B44CCF">
        <w:rPr>
          <w:sz w:val="22"/>
          <w:szCs w:val="22"/>
          <w:lang w:val="en-US" w:eastAsia="ja-JP"/>
        </w:rPr>
        <w:t xml:space="preserve"> Intel Corporation</w:t>
      </w:r>
      <w:bookmarkEnd w:id="1"/>
    </w:p>
    <w:sectPr w:rsidR="00753639" w:rsidRPr="00B44CCF"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280E" w:rsidRDefault="007A280E">
      <w:r>
        <w:separator/>
      </w:r>
    </w:p>
  </w:endnote>
  <w:endnote w:type="continuationSeparator" w:id="0">
    <w:p w:rsidR="007A280E" w:rsidRDefault="007A2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518C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18C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280E" w:rsidRDefault="007A280E">
      <w:r>
        <w:separator/>
      </w:r>
    </w:p>
  </w:footnote>
  <w:footnote w:type="continuationSeparator" w:id="0">
    <w:p w:rsidR="007A280E" w:rsidRDefault="007A28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tentative="1">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cs="Times New Roman" w:hint="default"/>
      </w:rPr>
    </w:lvl>
    <w:lvl w:ilvl="1" w:tplc="27ECF794">
      <w:start w:val="3109"/>
      <w:numFmt w:val="bullet"/>
      <w:lvlText w:val="–"/>
      <w:lvlJc w:val="left"/>
      <w:pPr>
        <w:tabs>
          <w:tab w:val="num" w:pos="1440"/>
        </w:tabs>
        <w:ind w:left="1440" w:hanging="360"/>
      </w:pPr>
      <w:rPr>
        <w:rFonts w:ascii="Arial" w:hAnsi="Arial" w:cs="Times New Roman" w:hint="default"/>
      </w:rPr>
    </w:lvl>
    <w:lvl w:ilvl="2" w:tplc="9B1E7A0C">
      <w:start w:val="1"/>
      <w:numFmt w:val="bullet"/>
      <w:lvlText w:val="•"/>
      <w:lvlJc w:val="left"/>
      <w:pPr>
        <w:tabs>
          <w:tab w:val="num" w:pos="2160"/>
        </w:tabs>
        <w:ind w:left="2160" w:hanging="360"/>
      </w:pPr>
      <w:rPr>
        <w:rFonts w:ascii="Arial" w:hAnsi="Arial" w:cs="Times New Roman" w:hint="default"/>
      </w:rPr>
    </w:lvl>
    <w:lvl w:ilvl="3" w:tplc="7922A33C">
      <w:start w:val="1"/>
      <w:numFmt w:val="bullet"/>
      <w:lvlText w:val="•"/>
      <w:lvlJc w:val="left"/>
      <w:pPr>
        <w:tabs>
          <w:tab w:val="num" w:pos="2880"/>
        </w:tabs>
        <w:ind w:left="2880" w:hanging="360"/>
      </w:pPr>
      <w:rPr>
        <w:rFonts w:ascii="Arial" w:hAnsi="Arial" w:cs="Times New Roman" w:hint="default"/>
      </w:rPr>
    </w:lvl>
    <w:lvl w:ilvl="4" w:tplc="DED2B84E">
      <w:start w:val="1"/>
      <w:numFmt w:val="bullet"/>
      <w:lvlText w:val="•"/>
      <w:lvlJc w:val="left"/>
      <w:pPr>
        <w:tabs>
          <w:tab w:val="num" w:pos="3600"/>
        </w:tabs>
        <w:ind w:left="3600" w:hanging="360"/>
      </w:pPr>
      <w:rPr>
        <w:rFonts w:ascii="Arial" w:hAnsi="Arial" w:cs="Times New Roman" w:hint="default"/>
      </w:rPr>
    </w:lvl>
    <w:lvl w:ilvl="5" w:tplc="3EAE06DE">
      <w:start w:val="1"/>
      <w:numFmt w:val="bullet"/>
      <w:lvlText w:val="•"/>
      <w:lvlJc w:val="left"/>
      <w:pPr>
        <w:tabs>
          <w:tab w:val="num" w:pos="4320"/>
        </w:tabs>
        <w:ind w:left="4320" w:hanging="360"/>
      </w:pPr>
      <w:rPr>
        <w:rFonts w:ascii="Arial" w:hAnsi="Arial" w:cs="Times New Roman" w:hint="default"/>
      </w:rPr>
    </w:lvl>
    <w:lvl w:ilvl="6" w:tplc="C76E5C92">
      <w:start w:val="1"/>
      <w:numFmt w:val="bullet"/>
      <w:lvlText w:val="•"/>
      <w:lvlJc w:val="left"/>
      <w:pPr>
        <w:tabs>
          <w:tab w:val="num" w:pos="5040"/>
        </w:tabs>
        <w:ind w:left="5040" w:hanging="360"/>
      </w:pPr>
      <w:rPr>
        <w:rFonts w:ascii="Arial" w:hAnsi="Arial" w:cs="Times New Roman" w:hint="default"/>
      </w:rPr>
    </w:lvl>
    <w:lvl w:ilvl="7" w:tplc="A8042D22">
      <w:start w:val="1"/>
      <w:numFmt w:val="bullet"/>
      <w:lvlText w:val="•"/>
      <w:lvlJc w:val="left"/>
      <w:pPr>
        <w:tabs>
          <w:tab w:val="num" w:pos="5760"/>
        </w:tabs>
        <w:ind w:left="5760" w:hanging="360"/>
      </w:pPr>
      <w:rPr>
        <w:rFonts w:ascii="Arial" w:hAnsi="Arial" w:cs="Times New Roman" w:hint="default"/>
      </w:rPr>
    </w:lvl>
    <w:lvl w:ilvl="8" w:tplc="E034B9D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C250FB"/>
    <w:multiLevelType w:val="hybridMultilevel"/>
    <w:tmpl w:val="E6BE8380"/>
    <w:lvl w:ilvl="0" w:tplc="3440DD4E">
      <w:start w:val="1"/>
      <w:numFmt w:val="bullet"/>
      <w:lvlText w:val="•"/>
      <w:lvlJc w:val="left"/>
      <w:pPr>
        <w:tabs>
          <w:tab w:val="num" w:pos="360"/>
        </w:tabs>
        <w:ind w:left="360" w:hanging="360"/>
      </w:pPr>
      <w:rPr>
        <w:rFonts w:ascii="Arial" w:hAnsi="Arial" w:hint="default"/>
      </w:rPr>
    </w:lvl>
    <w:lvl w:ilvl="1" w:tplc="76F03F70">
      <w:start w:val="2322"/>
      <w:numFmt w:val="bullet"/>
      <w:lvlText w:val="–"/>
      <w:lvlJc w:val="left"/>
      <w:pPr>
        <w:tabs>
          <w:tab w:val="num" w:pos="1080"/>
        </w:tabs>
        <w:ind w:left="1080" w:hanging="360"/>
      </w:pPr>
      <w:rPr>
        <w:rFonts w:ascii="Arial" w:hAnsi="Arial" w:hint="default"/>
      </w:rPr>
    </w:lvl>
    <w:lvl w:ilvl="2" w:tplc="FF005A84">
      <w:start w:val="2322"/>
      <w:numFmt w:val="bullet"/>
      <w:lvlText w:val="•"/>
      <w:lvlJc w:val="left"/>
      <w:pPr>
        <w:tabs>
          <w:tab w:val="num" w:pos="1800"/>
        </w:tabs>
        <w:ind w:left="1800" w:hanging="360"/>
      </w:pPr>
      <w:rPr>
        <w:rFonts w:ascii="Arial" w:hAnsi="Arial" w:hint="default"/>
      </w:rPr>
    </w:lvl>
    <w:lvl w:ilvl="3" w:tplc="DC8EB65E" w:tentative="1">
      <w:start w:val="1"/>
      <w:numFmt w:val="bullet"/>
      <w:lvlText w:val="•"/>
      <w:lvlJc w:val="left"/>
      <w:pPr>
        <w:tabs>
          <w:tab w:val="num" w:pos="2520"/>
        </w:tabs>
        <w:ind w:left="2520" w:hanging="360"/>
      </w:pPr>
      <w:rPr>
        <w:rFonts w:ascii="Arial" w:hAnsi="Arial" w:hint="default"/>
      </w:rPr>
    </w:lvl>
    <w:lvl w:ilvl="4" w:tplc="E668E406" w:tentative="1">
      <w:start w:val="1"/>
      <w:numFmt w:val="bullet"/>
      <w:lvlText w:val="•"/>
      <w:lvlJc w:val="left"/>
      <w:pPr>
        <w:tabs>
          <w:tab w:val="num" w:pos="3240"/>
        </w:tabs>
        <w:ind w:left="3240" w:hanging="360"/>
      </w:pPr>
      <w:rPr>
        <w:rFonts w:ascii="Arial" w:hAnsi="Arial" w:hint="default"/>
      </w:rPr>
    </w:lvl>
    <w:lvl w:ilvl="5" w:tplc="759679B2" w:tentative="1">
      <w:start w:val="1"/>
      <w:numFmt w:val="bullet"/>
      <w:lvlText w:val="•"/>
      <w:lvlJc w:val="left"/>
      <w:pPr>
        <w:tabs>
          <w:tab w:val="num" w:pos="3960"/>
        </w:tabs>
        <w:ind w:left="3960" w:hanging="360"/>
      </w:pPr>
      <w:rPr>
        <w:rFonts w:ascii="Arial" w:hAnsi="Arial" w:hint="default"/>
      </w:rPr>
    </w:lvl>
    <w:lvl w:ilvl="6" w:tplc="17ACA192" w:tentative="1">
      <w:start w:val="1"/>
      <w:numFmt w:val="bullet"/>
      <w:lvlText w:val="•"/>
      <w:lvlJc w:val="left"/>
      <w:pPr>
        <w:tabs>
          <w:tab w:val="num" w:pos="4680"/>
        </w:tabs>
        <w:ind w:left="4680" w:hanging="360"/>
      </w:pPr>
      <w:rPr>
        <w:rFonts w:ascii="Arial" w:hAnsi="Arial" w:hint="default"/>
      </w:rPr>
    </w:lvl>
    <w:lvl w:ilvl="7" w:tplc="DB9EEBA6" w:tentative="1">
      <w:start w:val="1"/>
      <w:numFmt w:val="bullet"/>
      <w:lvlText w:val="•"/>
      <w:lvlJc w:val="left"/>
      <w:pPr>
        <w:tabs>
          <w:tab w:val="num" w:pos="5400"/>
        </w:tabs>
        <w:ind w:left="5400" w:hanging="360"/>
      </w:pPr>
      <w:rPr>
        <w:rFonts w:ascii="Arial" w:hAnsi="Arial" w:hint="default"/>
      </w:rPr>
    </w:lvl>
    <w:lvl w:ilvl="8" w:tplc="CC32289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cs="Times New Roman" w:hint="default"/>
      </w:rPr>
    </w:lvl>
    <w:lvl w:ilvl="1" w:tplc="9BBAA092">
      <w:start w:val="1204"/>
      <w:numFmt w:val="bullet"/>
      <w:lvlText w:val="–"/>
      <w:lvlJc w:val="left"/>
      <w:pPr>
        <w:tabs>
          <w:tab w:val="num" w:pos="1440"/>
        </w:tabs>
        <w:ind w:left="1440" w:hanging="360"/>
      </w:pPr>
      <w:rPr>
        <w:rFonts w:ascii="Arial" w:hAnsi="Arial" w:cs="Times New Roman" w:hint="default"/>
      </w:rPr>
    </w:lvl>
    <w:lvl w:ilvl="2" w:tplc="9F7CE902">
      <w:start w:val="1"/>
      <w:numFmt w:val="bullet"/>
      <w:lvlText w:val="•"/>
      <w:lvlJc w:val="left"/>
      <w:pPr>
        <w:tabs>
          <w:tab w:val="num" w:pos="2160"/>
        </w:tabs>
        <w:ind w:left="2160" w:hanging="360"/>
      </w:pPr>
      <w:rPr>
        <w:rFonts w:ascii="Arial" w:hAnsi="Arial" w:cs="Times New Roman" w:hint="default"/>
      </w:rPr>
    </w:lvl>
    <w:lvl w:ilvl="3" w:tplc="952E71B2">
      <w:start w:val="1"/>
      <w:numFmt w:val="bullet"/>
      <w:lvlText w:val="•"/>
      <w:lvlJc w:val="left"/>
      <w:pPr>
        <w:tabs>
          <w:tab w:val="num" w:pos="2880"/>
        </w:tabs>
        <w:ind w:left="2880" w:hanging="360"/>
      </w:pPr>
      <w:rPr>
        <w:rFonts w:ascii="Arial" w:hAnsi="Arial" w:cs="Times New Roman" w:hint="default"/>
      </w:rPr>
    </w:lvl>
    <w:lvl w:ilvl="4" w:tplc="213688EA">
      <w:start w:val="1"/>
      <w:numFmt w:val="bullet"/>
      <w:lvlText w:val="•"/>
      <w:lvlJc w:val="left"/>
      <w:pPr>
        <w:tabs>
          <w:tab w:val="num" w:pos="3600"/>
        </w:tabs>
        <w:ind w:left="3600" w:hanging="360"/>
      </w:pPr>
      <w:rPr>
        <w:rFonts w:ascii="Arial" w:hAnsi="Arial" w:cs="Times New Roman" w:hint="default"/>
      </w:rPr>
    </w:lvl>
    <w:lvl w:ilvl="5" w:tplc="2348E558">
      <w:start w:val="1"/>
      <w:numFmt w:val="bullet"/>
      <w:lvlText w:val="•"/>
      <w:lvlJc w:val="left"/>
      <w:pPr>
        <w:tabs>
          <w:tab w:val="num" w:pos="4320"/>
        </w:tabs>
        <w:ind w:left="4320" w:hanging="360"/>
      </w:pPr>
      <w:rPr>
        <w:rFonts w:ascii="Arial" w:hAnsi="Arial" w:cs="Times New Roman" w:hint="default"/>
      </w:rPr>
    </w:lvl>
    <w:lvl w:ilvl="6" w:tplc="DC2AD9B0">
      <w:start w:val="1"/>
      <w:numFmt w:val="bullet"/>
      <w:lvlText w:val="•"/>
      <w:lvlJc w:val="left"/>
      <w:pPr>
        <w:tabs>
          <w:tab w:val="num" w:pos="5040"/>
        </w:tabs>
        <w:ind w:left="5040" w:hanging="360"/>
      </w:pPr>
      <w:rPr>
        <w:rFonts w:ascii="Arial" w:hAnsi="Arial" w:cs="Times New Roman" w:hint="default"/>
      </w:rPr>
    </w:lvl>
    <w:lvl w:ilvl="7" w:tplc="BF4C3B5C">
      <w:start w:val="1"/>
      <w:numFmt w:val="bullet"/>
      <w:lvlText w:val="•"/>
      <w:lvlJc w:val="left"/>
      <w:pPr>
        <w:tabs>
          <w:tab w:val="num" w:pos="5760"/>
        </w:tabs>
        <w:ind w:left="5760" w:hanging="360"/>
      </w:pPr>
      <w:rPr>
        <w:rFonts w:ascii="Arial" w:hAnsi="Arial" w:cs="Times New Roman" w:hint="default"/>
      </w:rPr>
    </w:lvl>
    <w:lvl w:ilvl="8" w:tplc="9C1C8D8C">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9"/>
  </w:num>
  <w:num w:numId="3">
    <w:abstractNumId w:val="2"/>
  </w:num>
  <w:num w:numId="4">
    <w:abstractNumId w:val="12"/>
  </w:num>
  <w:num w:numId="5">
    <w:abstractNumId w:val="6"/>
  </w:num>
  <w:num w:numId="6">
    <w:abstractNumId w:val="17"/>
  </w:num>
  <w:num w:numId="7">
    <w:abstractNumId w:val="3"/>
  </w:num>
  <w:num w:numId="8">
    <w:abstractNumId w:val="15"/>
  </w:num>
  <w:num w:numId="9">
    <w:abstractNumId w:val="21"/>
  </w:num>
  <w:num w:numId="10">
    <w:abstractNumId w:val="1"/>
  </w:num>
  <w:num w:numId="11">
    <w:abstractNumId w:val="24"/>
  </w:num>
  <w:num w:numId="12">
    <w:abstractNumId w:val="23"/>
  </w:num>
  <w:num w:numId="13">
    <w:abstractNumId w:val="19"/>
  </w:num>
  <w:num w:numId="14">
    <w:abstractNumId w:val="7"/>
  </w:num>
  <w:num w:numId="15">
    <w:abstractNumId w:val="8"/>
  </w:num>
  <w:num w:numId="16">
    <w:abstractNumId w:val="25"/>
  </w:num>
  <w:num w:numId="17">
    <w:abstractNumId w:val="26"/>
  </w:num>
  <w:num w:numId="18">
    <w:abstractNumId w:val="4"/>
  </w:num>
  <w:num w:numId="19">
    <w:abstractNumId w:val="4"/>
    <w:lvlOverride w:ilvl="0"/>
    <w:lvlOverride w:ilvl="1"/>
    <w:lvlOverride w:ilvl="2"/>
    <w:lvlOverride w:ilvl="3"/>
    <w:lvlOverride w:ilvl="4"/>
    <w:lvlOverride w:ilvl="5"/>
    <w:lvlOverride w:ilvl="6"/>
    <w:lvlOverride w:ilvl="7"/>
    <w:lvlOverride w:ilvl="8"/>
  </w:num>
  <w:num w:numId="20">
    <w:abstractNumId w:val="25"/>
    <w:lvlOverride w:ilvl="0"/>
    <w:lvlOverride w:ilvl="1"/>
    <w:lvlOverride w:ilvl="2"/>
    <w:lvlOverride w:ilvl="3"/>
    <w:lvlOverride w:ilvl="4"/>
    <w:lvlOverride w:ilvl="5"/>
    <w:lvlOverride w:ilvl="6"/>
    <w:lvlOverride w:ilvl="7"/>
    <w:lvlOverride w:ilvl="8"/>
  </w:num>
  <w:num w:numId="21">
    <w:abstractNumId w:val="26"/>
    <w:lvlOverride w:ilvl="0"/>
    <w:lvlOverride w:ilvl="1"/>
    <w:lvlOverride w:ilvl="2"/>
    <w:lvlOverride w:ilvl="3"/>
    <w:lvlOverride w:ilvl="4"/>
    <w:lvlOverride w:ilvl="5"/>
    <w:lvlOverride w:ilvl="6"/>
    <w:lvlOverride w:ilvl="7"/>
    <w:lvlOverride w:ilvl="8"/>
  </w:num>
  <w:num w:numId="22">
    <w:abstractNumId w:val="22"/>
    <w:lvlOverride w:ilvl="0"/>
    <w:lvlOverride w:ilvl="1"/>
    <w:lvlOverride w:ilvl="2"/>
    <w:lvlOverride w:ilvl="3"/>
    <w:lvlOverride w:ilvl="4"/>
    <w:lvlOverride w:ilvl="5"/>
    <w:lvlOverride w:ilvl="6"/>
    <w:lvlOverride w:ilvl="7"/>
    <w:lvlOverride w:ilvl="8"/>
  </w:num>
  <w:num w:numId="23">
    <w:abstractNumId w:val="13"/>
    <w:lvlOverride w:ilvl="0"/>
    <w:lvlOverride w:ilvl="1"/>
    <w:lvlOverride w:ilvl="2"/>
    <w:lvlOverride w:ilvl="3"/>
    <w:lvlOverride w:ilvl="4"/>
    <w:lvlOverride w:ilvl="5"/>
    <w:lvlOverride w:ilvl="6"/>
    <w:lvlOverride w:ilvl="7"/>
    <w:lvlOverride w:ilvl="8"/>
  </w:num>
  <w:num w:numId="24">
    <w:abstractNumId w:val="16"/>
  </w:num>
  <w:num w:numId="25">
    <w:abstractNumId w:val="10"/>
  </w:num>
  <w:num w:numId="26">
    <w:abstractNumId w:val="20"/>
  </w:num>
  <w:num w:numId="27">
    <w:abstractNumId w:val="18"/>
  </w:num>
  <w:num w:numId="28">
    <w:abstractNumId w:val="5"/>
  </w:num>
  <w:num w:numId="2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39"/>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80E"/>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8C1"/>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1C2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C41C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41C28"/>
    <w:pPr>
      <w:pBdr>
        <w:top w:val="none" w:sz="0" w:space="0" w:color="auto"/>
      </w:pBdr>
      <w:spacing w:before="180"/>
      <w:outlineLvl w:val="1"/>
    </w:pPr>
    <w:rPr>
      <w:sz w:val="32"/>
    </w:rPr>
  </w:style>
  <w:style w:type="paragraph" w:styleId="Heading3">
    <w:name w:val="heading 3"/>
    <w:basedOn w:val="Heading2"/>
    <w:next w:val="Normal"/>
    <w:link w:val="Heading3Char"/>
    <w:qFormat/>
    <w:rsid w:val="00C41C28"/>
    <w:pPr>
      <w:spacing w:before="120"/>
      <w:outlineLvl w:val="2"/>
    </w:pPr>
    <w:rPr>
      <w:sz w:val="28"/>
    </w:rPr>
  </w:style>
  <w:style w:type="paragraph" w:styleId="Heading4">
    <w:name w:val="heading 4"/>
    <w:aliases w:val="h4"/>
    <w:basedOn w:val="Heading3"/>
    <w:next w:val="Normal"/>
    <w:link w:val="Heading4Char"/>
    <w:qFormat/>
    <w:rsid w:val="00C41C28"/>
    <w:pPr>
      <w:ind w:left="1418" w:hanging="1418"/>
      <w:outlineLvl w:val="3"/>
    </w:pPr>
    <w:rPr>
      <w:sz w:val="24"/>
    </w:rPr>
  </w:style>
  <w:style w:type="paragraph" w:styleId="Heading5">
    <w:name w:val="heading 5"/>
    <w:basedOn w:val="Heading4"/>
    <w:next w:val="Normal"/>
    <w:link w:val="Heading5Char"/>
    <w:qFormat/>
    <w:rsid w:val="00C41C28"/>
    <w:pPr>
      <w:ind w:left="1701" w:hanging="1701"/>
      <w:outlineLvl w:val="4"/>
    </w:pPr>
    <w:rPr>
      <w:sz w:val="22"/>
    </w:rPr>
  </w:style>
  <w:style w:type="paragraph" w:styleId="Heading6">
    <w:name w:val="heading 6"/>
    <w:basedOn w:val="H6"/>
    <w:next w:val="Normal"/>
    <w:qFormat/>
    <w:rsid w:val="00C41C28"/>
    <w:pPr>
      <w:outlineLvl w:val="5"/>
    </w:pPr>
  </w:style>
  <w:style w:type="paragraph" w:styleId="Heading7">
    <w:name w:val="heading 7"/>
    <w:basedOn w:val="H6"/>
    <w:next w:val="Normal"/>
    <w:qFormat/>
    <w:rsid w:val="00C41C28"/>
    <w:pPr>
      <w:outlineLvl w:val="6"/>
    </w:pPr>
  </w:style>
  <w:style w:type="paragraph" w:styleId="Heading8">
    <w:name w:val="heading 8"/>
    <w:basedOn w:val="Heading1"/>
    <w:next w:val="Normal"/>
    <w:qFormat/>
    <w:rsid w:val="00C41C28"/>
    <w:pPr>
      <w:ind w:left="0" w:firstLine="0"/>
      <w:outlineLvl w:val="7"/>
    </w:pPr>
  </w:style>
  <w:style w:type="paragraph" w:styleId="Heading9">
    <w:name w:val="heading 9"/>
    <w:basedOn w:val="Heading8"/>
    <w:next w:val="Normal"/>
    <w:qFormat/>
    <w:rsid w:val="00C41C28"/>
    <w:pPr>
      <w:outlineLvl w:val="8"/>
    </w:pPr>
  </w:style>
  <w:style w:type="character" w:default="1" w:styleId="DefaultParagraphFont">
    <w:name w:val="Default Paragraph Font"/>
    <w:uiPriority w:val="1"/>
    <w:semiHidden/>
    <w:unhideWhenUsed/>
    <w:rsid w:val="00C41C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1C28"/>
  </w:style>
  <w:style w:type="paragraph" w:styleId="TOC8">
    <w:name w:val="toc 8"/>
    <w:basedOn w:val="TOC1"/>
    <w:semiHidden/>
    <w:rsid w:val="00C41C28"/>
    <w:pPr>
      <w:spacing w:before="180"/>
      <w:ind w:left="2693" w:hanging="2693"/>
    </w:pPr>
    <w:rPr>
      <w:b/>
    </w:rPr>
  </w:style>
  <w:style w:type="paragraph" w:styleId="TOC1">
    <w:name w:val="toc 1"/>
    <w:semiHidden/>
    <w:rsid w:val="00C41C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41C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41C28"/>
    <w:pPr>
      <w:ind w:left="1701" w:hanging="1701"/>
    </w:pPr>
  </w:style>
  <w:style w:type="paragraph" w:styleId="TOC4">
    <w:name w:val="toc 4"/>
    <w:basedOn w:val="TOC3"/>
    <w:semiHidden/>
    <w:rsid w:val="00C41C28"/>
    <w:pPr>
      <w:ind w:left="1418" w:hanging="1418"/>
    </w:pPr>
  </w:style>
  <w:style w:type="paragraph" w:styleId="TOC3">
    <w:name w:val="toc 3"/>
    <w:basedOn w:val="TOC2"/>
    <w:semiHidden/>
    <w:rsid w:val="00C41C28"/>
    <w:pPr>
      <w:ind w:left="1134" w:hanging="1134"/>
    </w:pPr>
  </w:style>
  <w:style w:type="paragraph" w:styleId="TOC2">
    <w:name w:val="toc 2"/>
    <w:basedOn w:val="TOC1"/>
    <w:semiHidden/>
    <w:rsid w:val="00C41C28"/>
    <w:pPr>
      <w:keepNext w:val="0"/>
      <w:spacing w:before="0"/>
      <w:ind w:left="851" w:hanging="851"/>
    </w:pPr>
    <w:rPr>
      <w:sz w:val="20"/>
    </w:rPr>
  </w:style>
  <w:style w:type="paragraph" w:styleId="Index2">
    <w:name w:val="index 2"/>
    <w:basedOn w:val="Index1"/>
    <w:semiHidden/>
    <w:rsid w:val="00C41C28"/>
    <w:pPr>
      <w:ind w:left="284"/>
    </w:pPr>
  </w:style>
  <w:style w:type="paragraph" w:styleId="Index1">
    <w:name w:val="index 1"/>
    <w:basedOn w:val="Normal"/>
    <w:semiHidden/>
    <w:rsid w:val="00C41C28"/>
    <w:pPr>
      <w:keepLines/>
      <w:spacing w:after="0"/>
    </w:pPr>
  </w:style>
  <w:style w:type="paragraph" w:customStyle="1" w:styleId="ZH">
    <w:name w:val="ZH"/>
    <w:rsid w:val="00C41C2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41C28"/>
    <w:pPr>
      <w:outlineLvl w:val="9"/>
    </w:pPr>
  </w:style>
  <w:style w:type="paragraph" w:styleId="ListNumber2">
    <w:name w:val="List Number 2"/>
    <w:basedOn w:val="ListNumber"/>
    <w:rsid w:val="00C41C2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41C28"/>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C41C28"/>
    <w:rPr>
      <w:b/>
      <w:position w:val="6"/>
      <w:sz w:val="16"/>
    </w:rPr>
  </w:style>
  <w:style w:type="paragraph" w:styleId="FootnoteText">
    <w:name w:val="footnote text"/>
    <w:basedOn w:val="Normal"/>
    <w:semiHidden/>
    <w:rsid w:val="00C41C28"/>
    <w:pPr>
      <w:keepLines/>
      <w:spacing w:after="0"/>
      <w:ind w:left="454" w:hanging="454"/>
    </w:pPr>
    <w:rPr>
      <w:sz w:val="16"/>
    </w:rPr>
  </w:style>
  <w:style w:type="paragraph" w:customStyle="1" w:styleId="TAH">
    <w:name w:val="TAH"/>
    <w:basedOn w:val="TAC"/>
    <w:rsid w:val="00C41C28"/>
    <w:rPr>
      <w:b/>
    </w:rPr>
  </w:style>
  <w:style w:type="paragraph" w:customStyle="1" w:styleId="TAC">
    <w:name w:val="TAC"/>
    <w:basedOn w:val="TAL"/>
    <w:rsid w:val="00C41C28"/>
    <w:pPr>
      <w:jc w:val="center"/>
    </w:pPr>
  </w:style>
  <w:style w:type="paragraph" w:customStyle="1" w:styleId="TF">
    <w:name w:val="TF"/>
    <w:basedOn w:val="TH"/>
    <w:rsid w:val="00C41C28"/>
    <w:pPr>
      <w:keepNext w:val="0"/>
      <w:spacing w:before="0" w:after="240"/>
    </w:pPr>
  </w:style>
  <w:style w:type="paragraph" w:customStyle="1" w:styleId="NO">
    <w:name w:val="NO"/>
    <w:basedOn w:val="Normal"/>
    <w:rsid w:val="00C41C28"/>
    <w:pPr>
      <w:keepLines/>
      <w:ind w:left="1135" w:hanging="851"/>
    </w:pPr>
  </w:style>
  <w:style w:type="paragraph" w:styleId="TOC9">
    <w:name w:val="toc 9"/>
    <w:basedOn w:val="TOC8"/>
    <w:semiHidden/>
    <w:rsid w:val="00C41C28"/>
    <w:pPr>
      <w:ind w:left="1418" w:hanging="1418"/>
    </w:pPr>
  </w:style>
  <w:style w:type="paragraph" w:customStyle="1" w:styleId="EX">
    <w:name w:val="EX"/>
    <w:basedOn w:val="Normal"/>
    <w:rsid w:val="00C41C28"/>
    <w:pPr>
      <w:keepLines/>
      <w:ind w:left="1702" w:hanging="1418"/>
    </w:pPr>
  </w:style>
  <w:style w:type="paragraph" w:customStyle="1" w:styleId="FP">
    <w:name w:val="FP"/>
    <w:basedOn w:val="Normal"/>
    <w:rsid w:val="00C41C28"/>
    <w:pPr>
      <w:spacing w:after="0"/>
    </w:pPr>
  </w:style>
  <w:style w:type="paragraph" w:customStyle="1" w:styleId="LD">
    <w:name w:val="LD"/>
    <w:rsid w:val="00C41C2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41C28"/>
    <w:pPr>
      <w:spacing w:after="0"/>
    </w:pPr>
  </w:style>
  <w:style w:type="paragraph" w:customStyle="1" w:styleId="EW">
    <w:name w:val="EW"/>
    <w:basedOn w:val="EX"/>
    <w:rsid w:val="00C41C28"/>
    <w:pPr>
      <w:spacing w:after="0"/>
    </w:pPr>
  </w:style>
  <w:style w:type="paragraph" w:styleId="TOC6">
    <w:name w:val="toc 6"/>
    <w:basedOn w:val="TOC5"/>
    <w:next w:val="Normal"/>
    <w:semiHidden/>
    <w:rsid w:val="00C41C28"/>
    <w:pPr>
      <w:ind w:left="1985" w:hanging="1985"/>
    </w:pPr>
  </w:style>
  <w:style w:type="paragraph" w:styleId="TOC7">
    <w:name w:val="toc 7"/>
    <w:basedOn w:val="TOC6"/>
    <w:next w:val="Normal"/>
    <w:semiHidden/>
    <w:rsid w:val="00C41C28"/>
    <w:pPr>
      <w:ind w:left="2268" w:hanging="2268"/>
    </w:pPr>
  </w:style>
  <w:style w:type="paragraph" w:styleId="ListBullet2">
    <w:name w:val="List Bullet 2"/>
    <w:basedOn w:val="ListBullet"/>
    <w:rsid w:val="00C41C28"/>
    <w:pPr>
      <w:ind w:left="851"/>
    </w:pPr>
  </w:style>
  <w:style w:type="paragraph" w:styleId="ListBullet3">
    <w:name w:val="List Bullet 3"/>
    <w:basedOn w:val="ListBullet2"/>
    <w:rsid w:val="00C41C28"/>
    <w:pPr>
      <w:ind w:left="1135"/>
    </w:pPr>
  </w:style>
  <w:style w:type="paragraph" w:styleId="ListNumber">
    <w:name w:val="List Number"/>
    <w:basedOn w:val="List"/>
    <w:rsid w:val="00C41C28"/>
  </w:style>
  <w:style w:type="paragraph" w:customStyle="1" w:styleId="EQ">
    <w:name w:val="EQ"/>
    <w:basedOn w:val="Normal"/>
    <w:next w:val="Normal"/>
    <w:rsid w:val="00C41C28"/>
    <w:pPr>
      <w:keepLines/>
      <w:tabs>
        <w:tab w:val="center" w:pos="4536"/>
        <w:tab w:val="right" w:pos="9072"/>
      </w:tabs>
    </w:pPr>
    <w:rPr>
      <w:noProof/>
    </w:rPr>
  </w:style>
  <w:style w:type="paragraph" w:customStyle="1" w:styleId="TH">
    <w:name w:val="TH"/>
    <w:basedOn w:val="Normal"/>
    <w:rsid w:val="00C41C28"/>
    <w:pPr>
      <w:keepNext/>
      <w:keepLines/>
      <w:spacing w:before="60"/>
      <w:jc w:val="center"/>
    </w:pPr>
    <w:rPr>
      <w:rFonts w:ascii="Arial" w:hAnsi="Arial"/>
      <w:b/>
    </w:rPr>
  </w:style>
  <w:style w:type="paragraph" w:customStyle="1" w:styleId="NF">
    <w:name w:val="NF"/>
    <w:basedOn w:val="NO"/>
    <w:rsid w:val="00C41C28"/>
    <w:pPr>
      <w:keepNext/>
      <w:spacing w:after="0"/>
    </w:pPr>
    <w:rPr>
      <w:rFonts w:ascii="Arial" w:hAnsi="Arial"/>
      <w:sz w:val="18"/>
    </w:rPr>
  </w:style>
  <w:style w:type="paragraph" w:customStyle="1" w:styleId="PL">
    <w:name w:val="PL"/>
    <w:rsid w:val="00C41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41C28"/>
    <w:pPr>
      <w:jc w:val="right"/>
    </w:pPr>
  </w:style>
  <w:style w:type="paragraph" w:customStyle="1" w:styleId="H6">
    <w:name w:val="H6"/>
    <w:basedOn w:val="Heading5"/>
    <w:next w:val="Normal"/>
    <w:rsid w:val="00C41C28"/>
    <w:pPr>
      <w:ind w:left="1985" w:hanging="1985"/>
      <w:outlineLvl w:val="9"/>
    </w:pPr>
    <w:rPr>
      <w:sz w:val="20"/>
    </w:rPr>
  </w:style>
  <w:style w:type="paragraph" w:customStyle="1" w:styleId="TAN">
    <w:name w:val="TAN"/>
    <w:basedOn w:val="TAL"/>
    <w:rsid w:val="00C41C28"/>
    <w:pPr>
      <w:ind w:left="851" w:hanging="851"/>
    </w:pPr>
  </w:style>
  <w:style w:type="paragraph" w:customStyle="1" w:styleId="TAL">
    <w:name w:val="TAL"/>
    <w:basedOn w:val="Normal"/>
    <w:rsid w:val="00C41C28"/>
    <w:pPr>
      <w:keepNext/>
      <w:keepLines/>
      <w:spacing w:after="0"/>
    </w:pPr>
    <w:rPr>
      <w:rFonts w:ascii="Arial" w:hAnsi="Arial"/>
      <w:sz w:val="18"/>
    </w:rPr>
  </w:style>
  <w:style w:type="paragraph" w:customStyle="1" w:styleId="ZA">
    <w:name w:val="ZA"/>
    <w:rsid w:val="00C41C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41C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41C2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41C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41C28"/>
    <w:pPr>
      <w:framePr w:wrap="notBeside" w:y="16161"/>
    </w:pPr>
  </w:style>
  <w:style w:type="character" w:customStyle="1" w:styleId="ZGSM">
    <w:name w:val="ZGSM"/>
    <w:rsid w:val="00C41C28"/>
  </w:style>
  <w:style w:type="paragraph" w:styleId="List2">
    <w:name w:val="List 2"/>
    <w:basedOn w:val="List"/>
    <w:rsid w:val="00C41C28"/>
    <w:pPr>
      <w:ind w:left="851"/>
    </w:pPr>
  </w:style>
  <w:style w:type="paragraph" w:customStyle="1" w:styleId="ZG">
    <w:name w:val="ZG"/>
    <w:rsid w:val="00C41C2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41C28"/>
    <w:pPr>
      <w:ind w:left="1135"/>
    </w:pPr>
  </w:style>
  <w:style w:type="paragraph" w:styleId="List4">
    <w:name w:val="List 4"/>
    <w:basedOn w:val="List3"/>
    <w:rsid w:val="00C41C28"/>
    <w:pPr>
      <w:ind w:left="1418"/>
    </w:pPr>
  </w:style>
  <w:style w:type="paragraph" w:styleId="List5">
    <w:name w:val="List 5"/>
    <w:basedOn w:val="List4"/>
    <w:rsid w:val="00C41C28"/>
    <w:pPr>
      <w:ind w:left="1702"/>
    </w:pPr>
  </w:style>
  <w:style w:type="paragraph" w:customStyle="1" w:styleId="EditorsNote">
    <w:name w:val="Editor's Note"/>
    <w:basedOn w:val="NO"/>
    <w:rsid w:val="00C41C28"/>
    <w:rPr>
      <w:color w:val="FF0000"/>
    </w:rPr>
  </w:style>
  <w:style w:type="paragraph" w:styleId="List">
    <w:name w:val="List"/>
    <w:basedOn w:val="Normal"/>
    <w:rsid w:val="00C41C28"/>
    <w:pPr>
      <w:ind w:left="568" w:hanging="284"/>
    </w:pPr>
  </w:style>
  <w:style w:type="paragraph" w:styleId="ListBullet">
    <w:name w:val="List Bullet"/>
    <w:basedOn w:val="List"/>
    <w:rsid w:val="00C41C28"/>
  </w:style>
  <w:style w:type="paragraph" w:styleId="ListBullet4">
    <w:name w:val="List Bullet 4"/>
    <w:basedOn w:val="ListBullet3"/>
    <w:rsid w:val="00C41C28"/>
    <w:pPr>
      <w:ind w:left="1418"/>
    </w:pPr>
  </w:style>
  <w:style w:type="paragraph" w:styleId="ListBullet5">
    <w:name w:val="List Bullet 5"/>
    <w:basedOn w:val="ListBullet4"/>
    <w:rsid w:val="00C41C28"/>
    <w:pPr>
      <w:ind w:left="1702"/>
    </w:pPr>
  </w:style>
  <w:style w:type="paragraph" w:customStyle="1" w:styleId="B1">
    <w:name w:val="B1"/>
    <w:basedOn w:val="List"/>
    <w:rsid w:val="00C41C28"/>
  </w:style>
  <w:style w:type="paragraph" w:customStyle="1" w:styleId="B2">
    <w:name w:val="B2"/>
    <w:basedOn w:val="List2"/>
    <w:rsid w:val="00C41C28"/>
  </w:style>
  <w:style w:type="paragraph" w:customStyle="1" w:styleId="B3">
    <w:name w:val="B3"/>
    <w:basedOn w:val="List3"/>
    <w:rsid w:val="00C41C28"/>
  </w:style>
  <w:style w:type="paragraph" w:customStyle="1" w:styleId="B4">
    <w:name w:val="B4"/>
    <w:basedOn w:val="List4"/>
    <w:rsid w:val="00C41C28"/>
  </w:style>
  <w:style w:type="paragraph" w:customStyle="1" w:styleId="B5">
    <w:name w:val="B5"/>
    <w:basedOn w:val="List5"/>
    <w:rsid w:val="00C41C28"/>
  </w:style>
  <w:style w:type="paragraph" w:styleId="Footer">
    <w:name w:val="footer"/>
    <w:basedOn w:val="Header"/>
    <w:link w:val="FooterChar"/>
    <w:uiPriority w:val="99"/>
    <w:rsid w:val="00C41C28"/>
    <w:pPr>
      <w:jc w:val="center"/>
    </w:pPr>
    <w:rPr>
      <w:i/>
    </w:rPr>
  </w:style>
  <w:style w:type="paragraph" w:customStyle="1" w:styleId="ZTD">
    <w:name w:val="ZTD"/>
    <w:basedOn w:val="ZB"/>
    <w:rsid w:val="00C41C28"/>
    <w:pPr>
      <w:framePr w:hRule="auto" w:wrap="notBeside" w:y="852"/>
    </w:pPr>
    <w:rPr>
      <w:i w:val="0"/>
      <w:sz w:val="40"/>
    </w:rPr>
  </w:style>
  <w:style w:type="character" w:customStyle="1" w:styleId="MTEquationSection">
    <w:name w:val="MTEquationSection"/>
    <w:rsid w:val="00C41C28"/>
    <w:rPr>
      <w:rFonts w:ascii="Arial" w:hAnsi="Arial"/>
      <w:vanish w:val="0"/>
      <w:color w:val="FF0000"/>
      <w:sz w:val="24"/>
    </w:rPr>
  </w:style>
  <w:style w:type="paragraph" w:styleId="BodyText3">
    <w:name w:val="Body Text 3"/>
    <w:basedOn w:val="Normal"/>
    <w:rsid w:val="00C41C28"/>
    <w:rPr>
      <w:i/>
    </w:rPr>
  </w:style>
  <w:style w:type="paragraph" w:styleId="DocumentMap">
    <w:name w:val="Document Map"/>
    <w:basedOn w:val="Normal"/>
    <w:semiHidden/>
    <w:rsid w:val="00C41C28"/>
    <w:pPr>
      <w:shd w:val="clear" w:color="auto" w:fill="000080"/>
    </w:pPr>
    <w:rPr>
      <w:rFonts w:ascii="Tahoma" w:hAnsi="Tahoma"/>
    </w:rPr>
  </w:style>
  <w:style w:type="paragraph" w:customStyle="1" w:styleId="Bulletedo1">
    <w:name w:val="Bulleted o 1"/>
    <w:basedOn w:val="Normal"/>
    <w:rsid w:val="00C41C28"/>
    <w:pPr>
      <w:numPr>
        <w:numId w:val="1"/>
      </w:numPr>
    </w:pPr>
  </w:style>
  <w:style w:type="paragraph" w:customStyle="1" w:styleId="text">
    <w:name w:val="text"/>
    <w:basedOn w:val="Normal"/>
    <w:rsid w:val="00C41C28"/>
    <w:pPr>
      <w:spacing w:after="240"/>
      <w:jc w:val="both"/>
    </w:pPr>
    <w:rPr>
      <w:sz w:val="24"/>
      <w:lang w:val="en-US" w:eastAsia="zh-CN"/>
    </w:rPr>
  </w:style>
  <w:style w:type="paragraph" w:customStyle="1" w:styleId="Equation">
    <w:name w:val="Equation"/>
    <w:basedOn w:val="Normal"/>
    <w:next w:val="Normal"/>
    <w:rsid w:val="00C41C2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C41C28"/>
    <w:pPr>
      <w:spacing w:after="220"/>
    </w:pPr>
    <w:rPr>
      <w:rFonts w:ascii="Arial" w:hAnsi="Arial"/>
      <w:sz w:val="22"/>
      <w:lang w:val="en-US"/>
    </w:rPr>
  </w:style>
  <w:style w:type="paragraph" w:customStyle="1" w:styleId="11BodyText">
    <w:name w:val="11 BodyText"/>
    <w:basedOn w:val="Normal"/>
    <w:rsid w:val="00C41C28"/>
    <w:pPr>
      <w:spacing w:after="220"/>
      <w:ind w:left="1298"/>
    </w:pPr>
    <w:rPr>
      <w:rFonts w:ascii="Arial" w:hAnsi="Arial"/>
      <w:sz w:val="22"/>
      <w:lang w:val="en-US"/>
    </w:rPr>
  </w:style>
  <w:style w:type="paragraph" w:customStyle="1" w:styleId="table">
    <w:name w:val="table"/>
    <w:basedOn w:val="text"/>
    <w:next w:val="text"/>
    <w:rsid w:val="00C41C28"/>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C41C28"/>
    <w:pPr>
      <w:spacing w:before="120" w:after="120"/>
    </w:pPr>
    <w:rPr>
      <w:b/>
      <w:bCs/>
    </w:rPr>
  </w:style>
  <w:style w:type="paragraph" w:customStyle="1" w:styleId="bodyCharCharChar">
    <w:name w:val="body Char Char Char"/>
    <w:basedOn w:val="Normal"/>
    <w:rsid w:val="00C41C28"/>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rsid w:val="00C41C28"/>
    <w:pPr>
      <w:spacing w:after="120"/>
      <w:jc w:val="both"/>
    </w:pPr>
    <w:rPr>
      <w:rFonts w:ascii="Times" w:hAnsi="Times"/>
      <w:szCs w:val="24"/>
      <w:lang w:val="en-US"/>
    </w:rPr>
  </w:style>
  <w:style w:type="paragraph" w:styleId="BodyText2">
    <w:name w:val="Body Text 2"/>
    <w:basedOn w:val="Normal"/>
    <w:rsid w:val="00C41C28"/>
    <w:pPr>
      <w:tabs>
        <w:tab w:val="left" w:pos="1985"/>
      </w:tabs>
      <w:spacing w:after="0"/>
      <w:jc w:val="both"/>
    </w:pPr>
    <w:rPr>
      <w:rFonts w:ascii="Arial" w:hAnsi="Arial"/>
      <w:sz w:val="22"/>
    </w:rPr>
  </w:style>
  <w:style w:type="character" w:customStyle="1" w:styleId="Heading1Char">
    <w:name w:val="Heading 1 Char"/>
    <w:rsid w:val="00C41C28"/>
    <w:rPr>
      <w:rFonts w:ascii="Arial" w:hAnsi="Arial"/>
      <w:sz w:val="36"/>
      <w:lang w:val="en-GB" w:eastAsia="en-US" w:bidi="ar-SA"/>
    </w:rPr>
  </w:style>
  <w:style w:type="paragraph" w:customStyle="1" w:styleId="body">
    <w:name w:val="body"/>
    <w:basedOn w:val="Normal"/>
    <w:rsid w:val="00C41C28"/>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C41C2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41C28"/>
  </w:style>
  <w:style w:type="character" w:styleId="CommentReference">
    <w:name w:val="annotation reference"/>
    <w:uiPriority w:val="99"/>
    <w:semiHidden/>
    <w:rsid w:val="00C41C28"/>
    <w:rPr>
      <w:sz w:val="16"/>
      <w:szCs w:val="16"/>
    </w:rPr>
  </w:style>
  <w:style w:type="paragraph" w:styleId="CommentText">
    <w:name w:val="annotation text"/>
    <w:basedOn w:val="Normal"/>
    <w:link w:val="CommentTextChar"/>
    <w:uiPriority w:val="99"/>
    <w:rsid w:val="00C41C28"/>
    <w:rPr>
      <w:lang w:eastAsia="x-none"/>
    </w:rPr>
  </w:style>
  <w:style w:type="paragraph" w:styleId="CommentSubject">
    <w:name w:val="annotation subject"/>
    <w:basedOn w:val="CommentText"/>
    <w:next w:val="CommentText"/>
    <w:semiHidden/>
    <w:rsid w:val="00C41C28"/>
    <w:rPr>
      <w:b/>
      <w:bCs/>
    </w:rPr>
  </w:style>
  <w:style w:type="paragraph" w:styleId="BalloonText">
    <w:name w:val="Balloon Text"/>
    <w:basedOn w:val="Normal"/>
    <w:semiHidden/>
    <w:rsid w:val="00C41C28"/>
    <w:rPr>
      <w:rFonts w:ascii="Tahoma" w:hAnsi="Tahoma" w:cs="Tahoma"/>
      <w:sz w:val="16"/>
      <w:szCs w:val="16"/>
    </w:rPr>
  </w:style>
  <w:style w:type="paragraph" w:customStyle="1" w:styleId="CRCoverPage">
    <w:name w:val="CR Cover Page"/>
    <w:rsid w:val="00C41C28"/>
    <w:pPr>
      <w:spacing w:after="120"/>
    </w:pPr>
    <w:rPr>
      <w:rFonts w:ascii="Arial" w:eastAsia="MS Mincho" w:hAnsi="Arial"/>
      <w:lang w:val="en-GB" w:eastAsia="en-US"/>
    </w:rPr>
  </w:style>
  <w:style w:type="character" w:customStyle="1" w:styleId="Heading1Char1">
    <w:name w:val="Heading 1 Char1"/>
    <w:link w:val="Heading1"/>
    <w:rsid w:val="00C41C28"/>
    <w:rPr>
      <w:rFonts w:ascii="Arial" w:hAnsi="Arial"/>
      <w:sz w:val="36"/>
      <w:lang w:val="en-GB" w:eastAsia="en-US"/>
    </w:rPr>
  </w:style>
  <w:style w:type="character" w:customStyle="1" w:styleId="Heading2Char">
    <w:name w:val="Heading 2 Char"/>
    <w:link w:val="Heading2"/>
    <w:rsid w:val="00C41C28"/>
    <w:rPr>
      <w:rFonts w:ascii="Arial" w:hAnsi="Arial"/>
      <w:sz w:val="32"/>
      <w:lang w:val="en-GB" w:eastAsia="en-US"/>
    </w:rPr>
  </w:style>
  <w:style w:type="character" w:customStyle="1" w:styleId="Heading3Char">
    <w:name w:val="Heading 3 Char"/>
    <w:link w:val="Heading3"/>
    <w:rsid w:val="00C41C28"/>
    <w:rPr>
      <w:rFonts w:ascii="Arial" w:hAnsi="Arial"/>
      <w:sz w:val="28"/>
      <w:lang w:val="en-GB" w:eastAsia="en-US"/>
    </w:rPr>
  </w:style>
  <w:style w:type="character" w:customStyle="1" w:styleId="Heading4Char">
    <w:name w:val="Heading 4 Char"/>
    <w:aliases w:val="h4 Char"/>
    <w:link w:val="Heading4"/>
    <w:rsid w:val="00C41C28"/>
    <w:rPr>
      <w:rFonts w:ascii="Arial" w:hAnsi="Arial"/>
      <w:sz w:val="24"/>
      <w:lang w:val="en-GB" w:eastAsia="en-US"/>
    </w:rPr>
  </w:style>
  <w:style w:type="character" w:customStyle="1" w:styleId="Heading5Char">
    <w:name w:val="Heading 5 Char"/>
    <w:link w:val="Heading5"/>
    <w:rsid w:val="00C41C28"/>
    <w:rPr>
      <w:rFonts w:ascii="Arial" w:hAnsi="Arial"/>
      <w:sz w:val="22"/>
      <w:lang w:val="en-GB" w:eastAsia="en-US"/>
    </w:rPr>
  </w:style>
  <w:style w:type="character" w:customStyle="1" w:styleId="CharChar3">
    <w:name w:val="Char Char3"/>
    <w:rsid w:val="00C41C28"/>
    <w:rPr>
      <w:rFonts w:ascii="Arial" w:hAnsi="Arial"/>
      <w:sz w:val="36"/>
      <w:lang w:val="en-GB" w:eastAsia="en-US" w:bidi="ar-SA"/>
    </w:rPr>
  </w:style>
  <w:style w:type="character" w:customStyle="1" w:styleId="CharChar2">
    <w:name w:val="Char Char2"/>
    <w:rsid w:val="00C41C28"/>
    <w:rPr>
      <w:rFonts w:ascii="Arial" w:hAnsi="Arial"/>
      <w:sz w:val="32"/>
      <w:lang w:val="en-GB" w:eastAsia="en-US" w:bidi="ar-SA"/>
    </w:rPr>
  </w:style>
  <w:style w:type="character" w:customStyle="1" w:styleId="CharChar1">
    <w:name w:val="Char Char1"/>
    <w:rsid w:val="00C41C28"/>
    <w:rPr>
      <w:rFonts w:ascii="Arial" w:hAnsi="Arial"/>
      <w:sz w:val="28"/>
      <w:lang w:val="en-GB" w:eastAsia="en-US" w:bidi="ar-SA"/>
    </w:rPr>
  </w:style>
  <w:style w:type="character" w:customStyle="1" w:styleId="h4CharChar">
    <w:name w:val="h4 Char Char"/>
    <w:rsid w:val="00C41C28"/>
    <w:rPr>
      <w:rFonts w:ascii="Arial" w:hAnsi="Arial"/>
      <w:sz w:val="24"/>
      <w:lang w:val="en-GB" w:eastAsia="en-US" w:bidi="ar-SA"/>
    </w:rPr>
  </w:style>
  <w:style w:type="character" w:customStyle="1" w:styleId="CharChar">
    <w:name w:val="Char Char"/>
    <w:rsid w:val="00C41C28"/>
    <w:rPr>
      <w:rFonts w:ascii="Arial" w:hAnsi="Arial"/>
      <w:sz w:val="22"/>
      <w:lang w:val="en-GB" w:eastAsia="en-US" w:bidi="ar-SA"/>
    </w:rPr>
  </w:style>
  <w:style w:type="paragraph" w:styleId="ListParagraph">
    <w:name w:val="List Paragraph"/>
    <w:basedOn w:val="Normal"/>
    <w:uiPriority w:val="34"/>
    <w:qFormat/>
    <w:rsid w:val="00C41C2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C41C2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C41C28"/>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C41C28"/>
    <w:rPr>
      <w:rFonts w:ascii="Cambria" w:eastAsia="Times New Roman" w:hAnsi="Cambria"/>
      <w:sz w:val="24"/>
      <w:szCs w:val="24"/>
      <w:lang w:val="en-GB" w:eastAsia="x-none"/>
    </w:rPr>
  </w:style>
  <w:style w:type="paragraph" w:styleId="Revision">
    <w:name w:val="Revision"/>
    <w:hidden/>
    <w:uiPriority w:val="99"/>
    <w:semiHidden/>
    <w:rsid w:val="00C41C28"/>
    <w:rPr>
      <w:rFonts w:ascii="Times New Roman" w:hAnsi="Times New Roman"/>
      <w:lang w:val="en-GB" w:eastAsia="en-US"/>
    </w:rPr>
  </w:style>
  <w:style w:type="paragraph" w:styleId="NormalWeb">
    <w:name w:val="Normal (Web)"/>
    <w:basedOn w:val="Normal"/>
    <w:uiPriority w:val="99"/>
    <w:unhideWhenUsed/>
    <w:rsid w:val="00C41C28"/>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C41C28"/>
    <w:rPr>
      <w:rFonts w:ascii="Times New Roman" w:hAnsi="Times New Roman"/>
      <w:lang w:val="en-GB" w:eastAsia="x-none"/>
    </w:rPr>
  </w:style>
  <w:style w:type="character" w:styleId="PlaceholderText">
    <w:name w:val="Placeholder Text"/>
    <w:uiPriority w:val="99"/>
    <w:semiHidden/>
    <w:rsid w:val="00C41C28"/>
    <w:rPr>
      <w:color w:val="808080"/>
    </w:rPr>
  </w:style>
  <w:style w:type="character" w:styleId="Hyperlink">
    <w:name w:val="Hyperlink"/>
    <w:rsid w:val="00C41C28"/>
    <w:rPr>
      <w:color w:val="0000FF"/>
      <w:u w:val="single"/>
    </w:rPr>
  </w:style>
  <w:style w:type="character" w:styleId="FollowedHyperlink">
    <w:name w:val="FollowedHyperlink"/>
    <w:rsid w:val="00C41C28"/>
    <w:rPr>
      <w:color w:val="800080"/>
      <w:u w:val="single"/>
    </w:rPr>
  </w:style>
  <w:style w:type="table" w:styleId="DarkList-Accent6">
    <w:name w:val="Dark List Accent 6"/>
    <w:basedOn w:val="TableNormal"/>
    <w:uiPriority w:val="70"/>
    <w:rsid w:val="00C41C28"/>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C41C28"/>
    <w:rPr>
      <w:rFonts w:ascii="Arial" w:hAnsi="Arial"/>
      <w:b/>
      <w:i/>
      <w:noProof/>
      <w:sz w:val="18"/>
      <w:lang w:eastAsia="en-US"/>
    </w:rPr>
  </w:style>
  <w:style w:type="paragraph" w:customStyle="1" w:styleId="Doc-text2">
    <w:name w:val="Doc-text2"/>
    <w:basedOn w:val="Normal"/>
    <w:link w:val="Doc-text2Char"/>
    <w:qFormat/>
    <w:rsid w:val="00C41C2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41C28"/>
    <w:rPr>
      <w:rFonts w:ascii="Arial" w:eastAsia="MS Mincho" w:hAnsi="Arial"/>
      <w:szCs w:val="24"/>
      <w:lang w:val="en-GB" w:eastAsia="en-GB"/>
    </w:rPr>
  </w:style>
  <w:style w:type="character" w:customStyle="1" w:styleId="TALCar">
    <w:name w:val="TAL Car"/>
    <w:rsid w:val="00C41C28"/>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
    <w:link w:val="Caption"/>
    <w:locked/>
    <w:rsid w:val="00753639"/>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61624"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61624"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61624"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61624"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B61624"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61624"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8C7AF4"/>
    <w:rsid w:val="00B616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AF1AA45-9EEA-44F2-B805-E04405552E5B}">
  <ds:schemaRefs>
    <ds:schemaRef ds:uri="http://schemas.openxmlformats.org/officeDocument/2006/bibliography"/>
  </ds:schemaRefs>
</ds:datastoreItem>
</file>

<file path=customXml/itemProps5.xml><?xml version="1.0" encoding="utf-8"?>
<ds:datastoreItem xmlns:ds="http://schemas.openxmlformats.org/officeDocument/2006/customXml" ds:itemID="{81AFFEE4-5B13-4816-9E50-9FE89A6DD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230</TotalTime>
  <Pages>3</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Tdoc-Title</vt:lpstr>
    </vt:vector>
  </TitlesOfParts>
  <Company>Intel</Company>
  <LinksUpToDate>false</LinksUpToDate>
  <CharactersWithSpaces>6336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for Random Access Procedure</dc:title>
  <dc:subject>R1-1700333</dc:subject>
  <dc:creator>Lee, Daewon</dc:creator>
  <cp:keywords>5.1.1.4.2</cp:keywords>
  <dc:description>Spokane, WA, U.S.A., Jan. 16-20, 2017</dc:description>
  <cp:lastModifiedBy>Lee, Daewon</cp:lastModifiedBy>
  <cp:revision>5</cp:revision>
  <cp:lastPrinted>2011-11-09T22:49:00Z</cp:lastPrinted>
  <dcterms:created xsi:type="dcterms:W3CDTF">2017-01-02T18:22:00Z</dcterms:created>
  <dcterms:modified xsi:type="dcterms:W3CDTF">2017-01-10T01:39:00Z</dcterms:modified>
  <cp:category>NR Ad-hoc</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